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C49866" w14:textId="77777777" w:rsidR="004C72C4" w:rsidRDefault="005B3115" w:rsidP="005B3115">
      <w:pPr>
        <w:pStyle w:val="Ttulo"/>
      </w:pPr>
      <w:r>
        <w:t>Criterios de Calificación (Propuesta)</w:t>
      </w:r>
    </w:p>
    <w:p w14:paraId="0E1753A1" w14:textId="77777777" w:rsidR="005B3115" w:rsidRPr="007128E9" w:rsidRDefault="005B3115" w:rsidP="005B3115">
      <w:pPr>
        <w:jc w:val="both"/>
        <w:rPr>
          <w:rFonts w:ascii="Calibri" w:hAnsi="Calibri" w:cs="Calibri"/>
          <w:sz w:val="22"/>
          <w:szCs w:val="22"/>
        </w:rPr>
      </w:pPr>
      <w:r w:rsidRPr="009E409E">
        <w:rPr>
          <w:sz w:val="2"/>
          <w:szCs w:val="2"/>
          <w:lang w:val="es-ES"/>
        </w:rPr>
        <w:t xml:space="preserve">     </w:t>
      </w:r>
      <w:r>
        <w:rPr>
          <w:rFonts w:ascii="Calibri" w:hAnsi="Calibri" w:cs="Calibri"/>
          <w:sz w:val="22"/>
          <w:szCs w:val="22"/>
        </w:rPr>
        <w:t xml:space="preserve">En el Decreto 54/2014 de 10/07/2014, por el que </w:t>
      </w:r>
      <w:r w:rsidRPr="00E92B1F">
        <w:rPr>
          <w:rFonts w:ascii="Calibri" w:hAnsi="Calibri" w:cs="Calibri"/>
          <w:sz w:val="22"/>
          <w:szCs w:val="22"/>
        </w:rPr>
        <w:t xml:space="preserve">se establece el currículo de Educación </w:t>
      </w:r>
      <w:r>
        <w:rPr>
          <w:rFonts w:ascii="Calibri" w:hAnsi="Calibri" w:cs="Calibri"/>
          <w:sz w:val="22"/>
          <w:szCs w:val="22"/>
        </w:rPr>
        <w:t>Primaria</w:t>
      </w:r>
      <w:r w:rsidRPr="00E92B1F">
        <w:rPr>
          <w:rFonts w:ascii="Calibri" w:hAnsi="Calibri" w:cs="Calibri"/>
          <w:sz w:val="22"/>
          <w:szCs w:val="22"/>
        </w:rPr>
        <w:t xml:space="preserve"> en la Comunidad</w:t>
      </w:r>
      <w:r>
        <w:rPr>
          <w:rFonts w:ascii="Calibri" w:hAnsi="Calibri" w:cs="Calibri"/>
          <w:sz w:val="22"/>
          <w:szCs w:val="22"/>
        </w:rPr>
        <w:t xml:space="preserve"> Autónoma de Castilla-La Mancha, se determina que l</w:t>
      </w:r>
      <w:r w:rsidRPr="006D5C05">
        <w:rPr>
          <w:rFonts w:ascii="Calibri" w:hAnsi="Calibri" w:cs="Calibri"/>
          <w:sz w:val="22"/>
          <w:szCs w:val="22"/>
        </w:rPr>
        <w:t xml:space="preserve">a </w:t>
      </w:r>
      <w:r>
        <w:rPr>
          <w:rFonts w:ascii="Calibri" w:hAnsi="Calibri" w:cs="Calibri"/>
          <w:sz w:val="22"/>
          <w:szCs w:val="22"/>
        </w:rPr>
        <w:t>evaluación</w:t>
      </w:r>
      <w:r w:rsidRPr="006D5C05">
        <w:rPr>
          <w:rFonts w:ascii="Calibri" w:hAnsi="Calibri" w:cs="Calibri"/>
          <w:sz w:val="22"/>
          <w:szCs w:val="22"/>
        </w:rPr>
        <w:t xml:space="preserve"> del proceso de aprendizaje del alumnado </w:t>
      </w:r>
      <w:r>
        <w:rPr>
          <w:rFonts w:ascii="Calibri" w:hAnsi="Calibri" w:cs="Calibri"/>
          <w:sz w:val="22"/>
          <w:szCs w:val="22"/>
        </w:rPr>
        <w:t xml:space="preserve">será continua </w:t>
      </w:r>
      <w:r w:rsidRPr="006D5C05">
        <w:rPr>
          <w:rFonts w:ascii="Calibri" w:hAnsi="Calibri" w:cs="Calibri"/>
          <w:sz w:val="22"/>
          <w:szCs w:val="22"/>
        </w:rPr>
        <w:t xml:space="preserve">y </w:t>
      </w:r>
      <w:r>
        <w:rPr>
          <w:rFonts w:ascii="Calibri" w:hAnsi="Calibri" w:cs="Calibri"/>
          <w:sz w:val="22"/>
          <w:szCs w:val="22"/>
        </w:rPr>
        <w:t>global</w:t>
      </w:r>
      <w:r w:rsidRPr="006D5C05">
        <w:rPr>
          <w:rFonts w:ascii="Calibri" w:hAnsi="Calibri" w:cs="Calibri"/>
          <w:sz w:val="22"/>
          <w:szCs w:val="22"/>
        </w:rPr>
        <w:t>.</w:t>
      </w:r>
      <w:r>
        <w:rPr>
          <w:rFonts w:ascii="Calibri" w:hAnsi="Calibri" w:cs="Calibri"/>
          <w:sz w:val="22"/>
          <w:szCs w:val="22"/>
        </w:rPr>
        <w:t xml:space="preserve"> De manera que los criterios de calificación que adoptamos en nuestra programación didáctica deben ser coherentes con estas características de la evaluación. Así, en su a</w:t>
      </w:r>
      <w:r w:rsidRPr="007128E9">
        <w:rPr>
          <w:rFonts w:ascii="Calibri" w:hAnsi="Calibri" w:cs="Calibri"/>
          <w:sz w:val="22"/>
          <w:szCs w:val="22"/>
        </w:rPr>
        <w:t xml:space="preserve">rtículo </w:t>
      </w:r>
      <w:r>
        <w:rPr>
          <w:rFonts w:ascii="Calibri" w:hAnsi="Calibri" w:cs="Calibri"/>
          <w:sz w:val="22"/>
          <w:szCs w:val="22"/>
        </w:rPr>
        <w:t>9 recoge que: “Los criterios de evaluació</w:t>
      </w:r>
      <w:r w:rsidRPr="00DC4884">
        <w:rPr>
          <w:rFonts w:ascii="Calibri" w:hAnsi="Calibri" w:cs="Calibri"/>
          <w:sz w:val="22"/>
          <w:szCs w:val="22"/>
        </w:rPr>
        <w:t>n son los</w:t>
      </w:r>
      <w:r>
        <w:rPr>
          <w:rFonts w:ascii="Calibri" w:hAnsi="Calibri" w:cs="Calibri"/>
          <w:sz w:val="22"/>
          <w:szCs w:val="22"/>
        </w:rPr>
        <w:t xml:space="preserve"> referentes para la comprobación del grado de adquisició</w:t>
      </w:r>
      <w:r w:rsidRPr="00DC4884">
        <w:rPr>
          <w:rFonts w:ascii="Calibri" w:hAnsi="Calibri" w:cs="Calibri"/>
          <w:sz w:val="22"/>
          <w:szCs w:val="22"/>
        </w:rPr>
        <w:t xml:space="preserve">n de las competencias y el logro de los objetivos de la etapa en las evaluaciones continua y  </w:t>
      </w:r>
      <w:r>
        <w:rPr>
          <w:rFonts w:ascii="Calibri" w:hAnsi="Calibri" w:cs="Calibri"/>
          <w:sz w:val="22"/>
          <w:szCs w:val="22"/>
        </w:rPr>
        <w:t>final de las á</w:t>
      </w:r>
      <w:r w:rsidRPr="00DC4884">
        <w:rPr>
          <w:rFonts w:ascii="Calibri" w:hAnsi="Calibri" w:cs="Calibri"/>
          <w:sz w:val="22"/>
          <w:szCs w:val="22"/>
        </w:rPr>
        <w:t>reas</w:t>
      </w:r>
      <w:r>
        <w:rPr>
          <w:rFonts w:ascii="Calibri" w:hAnsi="Calibri" w:cs="Calibri"/>
          <w:sz w:val="22"/>
          <w:szCs w:val="22"/>
        </w:rPr>
        <w:t>”, también se recoge que “La aplicació</w:t>
      </w:r>
      <w:r w:rsidRPr="00DC4884">
        <w:rPr>
          <w:rFonts w:ascii="Calibri" w:hAnsi="Calibri" w:cs="Calibri"/>
          <w:sz w:val="22"/>
          <w:szCs w:val="22"/>
        </w:rPr>
        <w:t>n concreta de los criterios de evaluac</w:t>
      </w:r>
      <w:r>
        <w:rPr>
          <w:rFonts w:ascii="Calibri" w:hAnsi="Calibri" w:cs="Calibri"/>
          <w:sz w:val="22"/>
          <w:szCs w:val="22"/>
        </w:rPr>
        <w:t>ión se realiza mediante los está</w:t>
      </w:r>
      <w:r w:rsidRPr="00DC4884">
        <w:rPr>
          <w:rFonts w:ascii="Calibri" w:hAnsi="Calibri" w:cs="Calibri"/>
          <w:sz w:val="22"/>
          <w:szCs w:val="22"/>
        </w:rPr>
        <w:t>ndares de aprendizaje evaluables</w:t>
      </w:r>
      <w:r>
        <w:rPr>
          <w:rFonts w:ascii="Calibri" w:hAnsi="Calibri" w:cs="Calibri"/>
          <w:sz w:val="22"/>
          <w:szCs w:val="22"/>
        </w:rPr>
        <w:t>.”. También la Orden de 5 de agosto de 2014 por la que se regula la organización y la evaluación en la Educación Primaria, dice en su artículo 13: “Los referentes de la evaluació</w:t>
      </w:r>
      <w:r w:rsidRPr="00DC4884">
        <w:rPr>
          <w:rFonts w:ascii="Calibri" w:hAnsi="Calibri" w:cs="Calibri"/>
          <w:sz w:val="22"/>
          <w:szCs w:val="22"/>
        </w:rPr>
        <w:t>n de aprendizajes</w:t>
      </w:r>
      <w:r>
        <w:rPr>
          <w:rFonts w:ascii="Calibri" w:hAnsi="Calibri" w:cs="Calibri"/>
          <w:sz w:val="22"/>
          <w:szCs w:val="22"/>
        </w:rPr>
        <w:t xml:space="preserve"> son los criterios de evaluación y los está</w:t>
      </w:r>
      <w:r w:rsidRPr="00DC4884">
        <w:rPr>
          <w:rFonts w:ascii="Calibri" w:hAnsi="Calibri" w:cs="Calibri"/>
          <w:sz w:val="22"/>
          <w:szCs w:val="22"/>
        </w:rPr>
        <w:t xml:space="preserve">ndares de aprendizaje </w:t>
      </w:r>
      <w:r>
        <w:rPr>
          <w:rFonts w:ascii="Calibri" w:hAnsi="Calibri" w:cs="Calibri"/>
          <w:sz w:val="22"/>
          <w:szCs w:val="22"/>
        </w:rPr>
        <w:t>evaluables definidos en el currí</w:t>
      </w:r>
      <w:r w:rsidRPr="00DC4884">
        <w:rPr>
          <w:rFonts w:ascii="Calibri" w:hAnsi="Calibri" w:cs="Calibri"/>
          <w:sz w:val="22"/>
          <w:szCs w:val="22"/>
        </w:rPr>
        <w:t>cu</w:t>
      </w:r>
      <w:r>
        <w:rPr>
          <w:rFonts w:ascii="Calibri" w:hAnsi="Calibri" w:cs="Calibri"/>
          <w:sz w:val="22"/>
          <w:szCs w:val="22"/>
        </w:rPr>
        <w:t>lo y en las programaciones didá</w:t>
      </w:r>
      <w:r w:rsidRPr="00DC4884">
        <w:rPr>
          <w:rFonts w:ascii="Calibri" w:hAnsi="Calibri" w:cs="Calibri"/>
          <w:sz w:val="22"/>
          <w:szCs w:val="22"/>
        </w:rPr>
        <w:t>cticas para cada una de la</w:t>
      </w:r>
      <w:r>
        <w:rPr>
          <w:rFonts w:ascii="Calibri" w:hAnsi="Calibri" w:cs="Calibri"/>
          <w:sz w:val="22"/>
          <w:szCs w:val="22"/>
        </w:rPr>
        <w:t>s á</w:t>
      </w:r>
      <w:r w:rsidRPr="00DC4884">
        <w:rPr>
          <w:rFonts w:ascii="Calibri" w:hAnsi="Calibri" w:cs="Calibri"/>
          <w:sz w:val="22"/>
          <w:szCs w:val="22"/>
        </w:rPr>
        <w:t>reas y cursos de la etapa.</w:t>
      </w:r>
      <w:r>
        <w:rPr>
          <w:rFonts w:ascii="Calibri" w:hAnsi="Calibri" w:cs="Calibri"/>
          <w:sz w:val="22"/>
          <w:szCs w:val="22"/>
        </w:rPr>
        <w:t>”.</w:t>
      </w:r>
    </w:p>
    <w:p w14:paraId="2FF00169" w14:textId="77777777" w:rsidR="005B3115" w:rsidRPr="006D5C05" w:rsidRDefault="005B3115" w:rsidP="005B3115">
      <w:pPr>
        <w:jc w:val="both"/>
        <w:rPr>
          <w:rFonts w:ascii="Calibri" w:hAnsi="Calibri" w:cs="Calibri"/>
          <w:sz w:val="22"/>
          <w:szCs w:val="22"/>
        </w:rPr>
      </w:pPr>
    </w:p>
    <w:p w14:paraId="2572DC48" w14:textId="77777777" w:rsidR="005B3115" w:rsidRPr="0044084D" w:rsidRDefault="005B3115" w:rsidP="005B3115">
      <w:pPr>
        <w:widowControl w:val="0"/>
        <w:autoSpaceDE w:val="0"/>
        <w:autoSpaceDN w:val="0"/>
        <w:adjustRightInd w:val="0"/>
        <w:spacing w:after="240" w:line="260" w:lineRule="atLeast"/>
        <w:jc w:val="both"/>
        <w:rPr>
          <w:rFonts w:ascii="Calibri" w:hAnsi="Calibri" w:cs="Calibri"/>
          <w:sz w:val="22"/>
          <w:szCs w:val="22"/>
        </w:rPr>
      </w:pPr>
      <w:r>
        <w:rPr>
          <w:rFonts w:ascii="Calibri" w:hAnsi="Calibri" w:cs="Calibri"/>
          <w:sz w:val="22"/>
          <w:szCs w:val="22"/>
        </w:rPr>
        <w:t>Sabemos bien</w:t>
      </w:r>
      <w:r w:rsidRPr="0044084D">
        <w:rPr>
          <w:rFonts w:ascii="Calibri" w:hAnsi="Calibri" w:cs="Calibri"/>
          <w:sz w:val="22"/>
          <w:szCs w:val="22"/>
        </w:rPr>
        <w:t xml:space="preserve"> que no todos los aprendizaje</w:t>
      </w:r>
      <w:r>
        <w:rPr>
          <w:rFonts w:ascii="Calibri" w:hAnsi="Calibri" w:cs="Calibri"/>
          <w:sz w:val="22"/>
          <w:szCs w:val="22"/>
        </w:rPr>
        <w:t xml:space="preserve">s (en este caso </w:t>
      </w:r>
      <w:r w:rsidRPr="0044084D">
        <w:rPr>
          <w:rFonts w:ascii="Calibri" w:hAnsi="Calibri" w:cs="Calibri"/>
          <w:sz w:val="22"/>
          <w:szCs w:val="22"/>
        </w:rPr>
        <w:t>estándares</w:t>
      </w:r>
      <w:r>
        <w:rPr>
          <w:rFonts w:ascii="Calibri" w:hAnsi="Calibri" w:cs="Calibri"/>
          <w:sz w:val="22"/>
          <w:szCs w:val="22"/>
        </w:rPr>
        <w:t>),</w:t>
      </w:r>
      <w:r w:rsidRPr="0044084D">
        <w:rPr>
          <w:rFonts w:ascii="Calibri" w:hAnsi="Calibri" w:cs="Calibri"/>
          <w:sz w:val="22"/>
          <w:szCs w:val="22"/>
        </w:rPr>
        <w:t xml:space="preserve"> tienen la misma relevancia dentro de cada </w:t>
      </w:r>
      <w:r>
        <w:rPr>
          <w:rFonts w:ascii="Calibri" w:hAnsi="Calibri" w:cs="Calibri"/>
          <w:sz w:val="22"/>
          <w:szCs w:val="22"/>
        </w:rPr>
        <w:t>área,</w:t>
      </w:r>
      <w:r w:rsidRPr="0044084D">
        <w:rPr>
          <w:rFonts w:ascii="Calibri" w:hAnsi="Calibri" w:cs="Calibri"/>
          <w:sz w:val="22"/>
          <w:szCs w:val="22"/>
        </w:rPr>
        <w:t xml:space="preserve"> ya que </w:t>
      </w:r>
      <w:r>
        <w:rPr>
          <w:rFonts w:ascii="Calibri" w:hAnsi="Calibri" w:cs="Calibri"/>
          <w:sz w:val="22"/>
          <w:szCs w:val="22"/>
        </w:rPr>
        <w:t>no</w:t>
      </w:r>
      <w:r w:rsidRPr="0044084D">
        <w:rPr>
          <w:rFonts w:ascii="Calibri" w:hAnsi="Calibri" w:cs="Calibri"/>
          <w:sz w:val="22"/>
          <w:szCs w:val="22"/>
        </w:rPr>
        <w:t xml:space="preserve"> </w:t>
      </w:r>
      <w:r>
        <w:rPr>
          <w:rFonts w:ascii="Calibri" w:hAnsi="Calibri" w:cs="Calibri"/>
          <w:sz w:val="22"/>
          <w:szCs w:val="22"/>
        </w:rPr>
        <w:t>presentan</w:t>
      </w:r>
      <w:r w:rsidRPr="0044084D">
        <w:rPr>
          <w:rFonts w:ascii="Calibri" w:hAnsi="Calibri" w:cs="Calibri"/>
          <w:sz w:val="22"/>
          <w:szCs w:val="22"/>
        </w:rPr>
        <w:t xml:space="preserve"> las mismas características internas (procesos co</w:t>
      </w:r>
      <w:r>
        <w:rPr>
          <w:rFonts w:ascii="Calibri" w:hAnsi="Calibri" w:cs="Calibri"/>
          <w:sz w:val="22"/>
          <w:szCs w:val="22"/>
        </w:rPr>
        <w:t>gnitivos, contexto, contenidos), de ahí que sea necesario determinar la importancia que tienen los distintos aprendizajes en la programación y en las actividades que se desarrollan en las aulas. En la Resolución de 11/03/2015 de la Dirección General de Organización, Calidad Educativa y Formación Profesional se recoge la categorización de estos aprendizajes.</w:t>
      </w:r>
    </w:p>
    <w:p w14:paraId="42798668" w14:textId="77777777" w:rsidR="005B3115" w:rsidRDefault="005B3115" w:rsidP="005B3115">
      <w:pPr>
        <w:widowControl w:val="0"/>
        <w:autoSpaceDE w:val="0"/>
        <w:autoSpaceDN w:val="0"/>
        <w:adjustRightInd w:val="0"/>
        <w:spacing w:after="240" w:line="260" w:lineRule="atLeast"/>
        <w:jc w:val="both"/>
        <w:rPr>
          <w:rFonts w:ascii="Calibri" w:hAnsi="Calibri" w:cs="Calibri"/>
          <w:b/>
          <w:sz w:val="22"/>
          <w:szCs w:val="22"/>
        </w:rPr>
      </w:pPr>
      <w:r w:rsidRPr="0044084D">
        <w:rPr>
          <w:rFonts w:ascii="Calibri" w:hAnsi="Calibri" w:cs="Calibri"/>
          <w:sz w:val="22"/>
          <w:szCs w:val="22"/>
        </w:rPr>
        <w:t xml:space="preserve">La selección de </w:t>
      </w:r>
      <w:r w:rsidRPr="0044084D">
        <w:rPr>
          <w:rFonts w:ascii="Calibri" w:hAnsi="Calibri" w:cs="Calibri"/>
          <w:b/>
          <w:sz w:val="22"/>
          <w:szCs w:val="22"/>
        </w:rPr>
        <w:t>aprendizajes BÁSICOS</w:t>
      </w:r>
      <w:r>
        <w:rPr>
          <w:rFonts w:ascii="Calibri" w:hAnsi="Calibri" w:cs="Calibri"/>
          <w:b/>
          <w:sz w:val="22"/>
          <w:szCs w:val="22"/>
        </w:rPr>
        <w:t xml:space="preserve"> (marcados como B), </w:t>
      </w:r>
      <w:r w:rsidRPr="00DF01DF">
        <w:rPr>
          <w:rFonts w:ascii="Calibri" w:hAnsi="Calibri" w:cs="Calibri"/>
          <w:sz w:val="22"/>
          <w:szCs w:val="22"/>
        </w:rPr>
        <w:t>son aquellos</w:t>
      </w:r>
      <w:r w:rsidRPr="0044084D">
        <w:rPr>
          <w:rFonts w:ascii="Calibri" w:hAnsi="Calibri" w:cs="Calibri"/>
          <w:b/>
          <w:sz w:val="22"/>
          <w:szCs w:val="22"/>
        </w:rPr>
        <w:t xml:space="preserve"> </w:t>
      </w:r>
      <w:r w:rsidRPr="0044084D">
        <w:rPr>
          <w:rFonts w:ascii="Calibri" w:hAnsi="Calibri" w:cs="Calibri"/>
          <w:sz w:val="22"/>
          <w:szCs w:val="22"/>
        </w:rPr>
        <w:t>imprescindibles para superar un curso y que marca</w:t>
      </w:r>
      <w:r>
        <w:rPr>
          <w:rFonts w:ascii="Calibri" w:hAnsi="Calibri" w:cs="Calibri"/>
          <w:sz w:val="22"/>
          <w:szCs w:val="22"/>
        </w:rPr>
        <w:t>n</w:t>
      </w:r>
      <w:r w:rsidRPr="0044084D">
        <w:rPr>
          <w:rFonts w:ascii="Calibri" w:hAnsi="Calibri" w:cs="Calibri"/>
          <w:sz w:val="22"/>
          <w:szCs w:val="22"/>
        </w:rPr>
        <w:t xml:space="preserve"> la sufi</w:t>
      </w:r>
      <w:r>
        <w:rPr>
          <w:rFonts w:ascii="Calibri" w:hAnsi="Calibri" w:cs="Calibri"/>
          <w:sz w:val="22"/>
          <w:szCs w:val="22"/>
        </w:rPr>
        <w:t>ciencia en la materia</w:t>
      </w:r>
      <w:r w:rsidRPr="0044084D">
        <w:rPr>
          <w:rFonts w:ascii="Calibri" w:hAnsi="Calibri" w:cs="Calibri"/>
          <w:sz w:val="22"/>
          <w:szCs w:val="22"/>
        </w:rPr>
        <w:t xml:space="preserve">. Acompañando a </w:t>
      </w:r>
      <w:r>
        <w:rPr>
          <w:rFonts w:ascii="Calibri" w:hAnsi="Calibri" w:cs="Calibri"/>
          <w:sz w:val="22"/>
          <w:szCs w:val="22"/>
        </w:rPr>
        <w:t>estos</w:t>
      </w:r>
      <w:r w:rsidRPr="0044084D">
        <w:rPr>
          <w:rFonts w:ascii="Calibri" w:hAnsi="Calibri" w:cs="Calibri"/>
          <w:sz w:val="22"/>
          <w:szCs w:val="22"/>
        </w:rPr>
        <w:t xml:space="preserve"> </w:t>
      </w:r>
      <w:r w:rsidRPr="0044084D">
        <w:rPr>
          <w:rFonts w:ascii="Calibri" w:hAnsi="Calibri" w:cs="Calibri"/>
          <w:b/>
          <w:sz w:val="22"/>
          <w:szCs w:val="22"/>
        </w:rPr>
        <w:t>ESTÁNDARES DE APRENDIZAJE BÁSICOS</w:t>
      </w:r>
      <w:r w:rsidRPr="0044084D">
        <w:rPr>
          <w:rFonts w:ascii="Calibri" w:hAnsi="Calibri" w:cs="Calibri"/>
          <w:sz w:val="22"/>
          <w:szCs w:val="22"/>
        </w:rPr>
        <w:t xml:space="preserve"> de cada </w:t>
      </w:r>
      <w:r>
        <w:rPr>
          <w:rFonts w:ascii="Calibri" w:hAnsi="Calibri" w:cs="Calibri"/>
          <w:sz w:val="22"/>
          <w:szCs w:val="22"/>
        </w:rPr>
        <w:t>asignatura, se incluyen</w:t>
      </w:r>
      <w:r w:rsidRPr="0044084D">
        <w:rPr>
          <w:rFonts w:ascii="Calibri" w:hAnsi="Calibri" w:cs="Calibri"/>
          <w:sz w:val="22"/>
          <w:szCs w:val="22"/>
        </w:rPr>
        <w:t xml:space="preserve"> otros estándares que se considerarán </w:t>
      </w:r>
      <w:r>
        <w:rPr>
          <w:rFonts w:ascii="Calibri" w:hAnsi="Calibri" w:cs="Calibri"/>
          <w:sz w:val="22"/>
          <w:szCs w:val="22"/>
        </w:rPr>
        <w:t xml:space="preserve">los más </w:t>
      </w:r>
      <w:r w:rsidRPr="0044084D">
        <w:rPr>
          <w:rFonts w:ascii="Calibri" w:hAnsi="Calibri" w:cs="Calibri"/>
          <w:b/>
          <w:sz w:val="22"/>
          <w:szCs w:val="22"/>
        </w:rPr>
        <w:t>AVANZADOS</w:t>
      </w:r>
      <w:r>
        <w:rPr>
          <w:rFonts w:ascii="Calibri" w:hAnsi="Calibri" w:cs="Calibri"/>
          <w:b/>
          <w:sz w:val="22"/>
          <w:szCs w:val="22"/>
        </w:rPr>
        <w:t xml:space="preserve"> (marcados como A)</w:t>
      </w:r>
      <w:r w:rsidRPr="0044084D">
        <w:rPr>
          <w:rFonts w:ascii="Calibri" w:hAnsi="Calibri" w:cs="Calibri"/>
          <w:sz w:val="22"/>
          <w:szCs w:val="22"/>
        </w:rPr>
        <w:t xml:space="preserve">, debido a la complejidad de los mismos y que marcarán </w:t>
      </w:r>
      <w:r>
        <w:rPr>
          <w:rFonts w:ascii="Calibri" w:hAnsi="Calibri" w:cs="Calibri"/>
          <w:sz w:val="22"/>
          <w:szCs w:val="22"/>
        </w:rPr>
        <w:t>el nivel más alto de consecución de los criterios de evaluación en cada asignatura</w:t>
      </w:r>
      <w:r w:rsidRPr="0044084D">
        <w:rPr>
          <w:rFonts w:ascii="Calibri" w:hAnsi="Calibri" w:cs="Calibri"/>
          <w:sz w:val="22"/>
          <w:szCs w:val="22"/>
        </w:rPr>
        <w:t xml:space="preserve">. El resto de estándares se considerarán </w:t>
      </w:r>
      <w:r w:rsidRPr="0044084D">
        <w:rPr>
          <w:rFonts w:ascii="Calibri" w:hAnsi="Calibri" w:cs="Calibri"/>
          <w:b/>
          <w:sz w:val="22"/>
          <w:szCs w:val="22"/>
        </w:rPr>
        <w:t>INTERMEDIOS</w:t>
      </w:r>
      <w:r>
        <w:rPr>
          <w:rFonts w:ascii="Calibri" w:hAnsi="Calibri" w:cs="Calibri"/>
          <w:b/>
          <w:sz w:val="22"/>
          <w:szCs w:val="22"/>
        </w:rPr>
        <w:t xml:space="preserve"> (marcados como I) </w:t>
      </w:r>
      <w:r w:rsidRPr="00497D0B">
        <w:rPr>
          <w:rFonts w:ascii="Calibri" w:hAnsi="Calibri" w:cs="Calibri"/>
          <w:sz w:val="22"/>
          <w:szCs w:val="22"/>
        </w:rPr>
        <w:t>entre los dos grupos anteriores</w:t>
      </w:r>
      <w:r w:rsidRPr="0044084D">
        <w:rPr>
          <w:rFonts w:ascii="Calibri" w:hAnsi="Calibri" w:cs="Calibri"/>
          <w:b/>
          <w:sz w:val="22"/>
          <w:szCs w:val="22"/>
        </w:rPr>
        <w:t xml:space="preserve">. </w:t>
      </w:r>
    </w:p>
    <w:p w14:paraId="20574D5E" w14:textId="3A9E5457" w:rsidR="000E7C2F" w:rsidRPr="00E7152F" w:rsidRDefault="000E7C2F" w:rsidP="005B3115">
      <w:pPr>
        <w:widowControl w:val="0"/>
        <w:autoSpaceDE w:val="0"/>
        <w:autoSpaceDN w:val="0"/>
        <w:adjustRightInd w:val="0"/>
        <w:spacing w:after="240" w:line="260" w:lineRule="atLeast"/>
        <w:jc w:val="both"/>
        <w:rPr>
          <w:rFonts w:ascii="Calibri" w:hAnsi="Calibri" w:cs="Calibri"/>
          <w:i/>
          <w:sz w:val="22"/>
          <w:szCs w:val="22"/>
        </w:rPr>
      </w:pPr>
      <w:r>
        <w:rPr>
          <w:rFonts w:ascii="Calibri" w:hAnsi="Calibri" w:cs="Calibri"/>
          <w:b/>
          <w:sz w:val="22"/>
          <w:szCs w:val="22"/>
        </w:rPr>
        <w:t xml:space="preserve">Dentro de cada bloque de categorización asignaremos pesos a los aprendizajes, </w:t>
      </w:r>
      <w:proofErr w:type="spellStart"/>
      <w:r>
        <w:rPr>
          <w:rFonts w:ascii="Calibri" w:hAnsi="Calibri" w:cs="Calibri"/>
          <w:b/>
          <w:sz w:val="22"/>
          <w:szCs w:val="22"/>
        </w:rPr>
        <w:t>teneindo</w:t>
      </w:r>
      <w:proofErr w:type="spellEnd"/>
      <w:r>
        <w:rPr>
          <w:rFonts w:ascii="Calibri" w:hAnsi="Calibri" w:cs="Calibri"/>
          <w:b/>
          <w:sz w:val="22"/>
          <w:szCs w:val="22"/>
        </w:rPr>
        <w:t xml:space="preserve"> en cuenta la relevancia de los mismos.</w:t>
      </w:r>
    </w:p>
    <w:p w14:paraId="4B260BDD" w14:textId="5E975419" w:rsidR="005B3115" w:rsidRDefault="005B3115" w:rsidP="005B3115">
      <w:pPr>
        <w:widowControl w:val="0"/>
        <w:autoSpaceDE w:val="0"/>
        <w:autoSpaceDN w:val="0"/>
        <w:adjustRightInd w:val="0"/>
        <w:spacing w:after="240" w:line="260" w:lineRule="atLeast"/>
        <w:jc w:val="both"/>
        <w:rPr>
          <w:rFonts w:ascii="Calibri" w:hAnsi="Calibri" w:cs="Calibri"/>
          <w:i/>
          <w:sz w:val="22"/>
          <w:szCs w:val="22"/>
        </w:rPr>
      </w:pPr>
      <w:r w:rsidRPr="00E7152F">
        <w:rPr>
          <w:rFonts w:ascii="Calibri" w:hAnsi="Calibri" w:cs="Calibri"/>
          <w:i/>
          <w:sz w:val="22"/>
          <w:szCs w:val="22"/>
        </w:rPr>
        <w:t xml:space="preserve">Cada centro deberá decidir, al menos por </w:t>
      </w:r>
      <w:r>
        <w:rPr>
          <w:rFonts w:ascii="Calibri" w:hAnsi="Calibri" w:cs="Calibri"/>
          <w:i/>
          <w:sz w:val="22"/>
          <w:szCs w:val="22"/>
        </w:rPr>
        <w:t>área</w:t>
      </w:r>
      <w:r w:rsidRPr="00E7152F">
        <w:rPr>
          <w:rFonts w:ascii="Calibri" w:hAnsi="Calibri" w:cs="Calibri"/>
          <w:i/>
          <w:sz w:val="22"/>
          <w:szCs w:val="22"/>
        </w:rPr>
        <w:t xml:space="preserve"> y nivel, el peso de cada una de las categorías, teniendo en cuenta que el porcentaje asignado al grupo de los estándares básicos deberá tener como mínimo un valor del 50% que se correspondería con la suficiencia</w:t>
      </w:r>
      <w:r>
        <w:rPr>
          <w:rFonts w:ascii="Calibri" w:hAnsi="Calibri" w:cs="Calibri"/>
          <w:i/>
          <w:sz w:val="22"/>
          <w:szCs w:val="22"/>
        </w:rPr>
        <w:t>.</w:t>
      </w:r>
      <w:r w:rsidRPr="00E7152F">
        <w:rPr>
          <w:rFonts w:ascii="Calibri" w:hAnsi="Calibri" w:cs="Calibri"/>
          <w:i/>
          <w:sz w:val="22"/>
          <w:szCs w:val="22"/>
        </w:rPr>
        <w:t xml:space="preserve"> Se recomienda que se e</w:t>
      </w:r>
      <w:r>
        <w:rPr>
          <w:rFonts w:ascii="Calibri" w:hAnsi="Calibri" w:cs="Calibri"/>
          <w:i/>
          <w:sz w:val="22"/>
          <w:szCs w:val="22"/>
        </w:rPr>
        <w:t>stablezca un peso de entre el 50</w:t>
      </w:r>
      <w:r w:rsidRPr="00E7152F">
        <w:rPr>
          <w:rFonts w:ascii="Calibri" w:hAnsi="Calibri" w:cs="Calibri"/>
          <w:i/>
          <w:sz w:val="22"/>
          <w:szCs w:val="22"/>
        </w:rPr>
        <w:t>% y el 59%, lo que supondría  que la consecución de los aprendizajes básicos dependiendo del nivel de logro se traduciría en una calificación curricular de entre el 5 y el 5,9)</w:t>
      </w:r>
      <w:r w:rsidR="000E7C2F">
        <w:rPr>
          <w:rFonts w:ascii="Calibri" w:hAnsi="Calibri" w:cs="Calibri"/>
          <w:i/>
          <w:sz w:val="22"/>
          <w:szCs w:val="22"/>
        </w:rPr>
        <w:t>.</w:t>
      </w:r>
    </w:p>
    <w:p w14:paraId="671653BC" w14:textId="6E3CC5A9" w:rsidR="000E7C2F" w:rsidRPr="00E7152F" w:rsidRDefault="000E7C2F" w:rsidP="005B3115">
      <w:pPr>
        <w:widowControl w:val="0"/>
        <w:autoSpaceDE w:val="0"/>
        <w:autoSpaceDN w:val="0"/>
        <w:adjustRightInd w:val="0"/>
        <w:spacing w:after="240" w:line="260" w:lineRule="atLeast"/>
        <w:jc w:val="both"/>
        <w:rPr>
          <w:rFonts w:ascii="Calibri" w:hAnsi="Calibri" w:cs="Calibri"/>
          <w:i/>
          <w:sz w:val="22"/>
          <w:szCs w:val="22"/>
        </w:rPr>
      </w:pPr>
      <w:r>
        <w:rPr>
          <w:rFonts w:ascii="Calibri" w:hAnsi="Calibri" w:cs="Calibri"/>
          <w:i/>
          <w:sz w:val="22"/>
          <w:szCs w:val="22"/>
        </w:rPr>
        <w:t>Una vez otorgada estos porcentajes se deberá decidir qué pesos específicos se asignan a cada uno de los aprendizajes de cada categoría, en el caso que se quieran diferenciar dichos aprendizajes por su relevancia en la evaluación.</w:t>
      </w:r>
    </w:p>
    <w:p w14:paraId="0DA1ED16" w14:textId="77777777" w:rsidR="005B3115" w:rsidRPr="00320396" w:rsidRDefault="005B3115" w:rsidP="005B3115">
      <w:pPr>
        <w:widowControl w:val="0"/>
        <w:autoSpaceDE w:val="0"/>
        <w:autoSpaceDN w:val="0"/>
        <w:adjustRightInd w:val="0"/>
        <w:spacing w:after="240" w:line="260" w:lineRule="atLeast"/>
        <w:jc w:val="both"/>
        <w:rPr>
          <w:rFonts w:ascii="Calibri" w:hAnsi="Calibri" w:cs="Calibri"/>
          <w:i/>
          <w:sz w:val="22"/>
          <w:szCs w:val="22"/>
        </w:rPr>
      </w:pPr>
      <w:r w:rsidRPr="00E7152F">
        <w:rPr>
          <w:rFonts w:ascii="Calibri" w:hAnsi="Calibri" w:cs="Calibri"/>
          <w:i/>
          <w:sz w:val="22"/>
          <w:szCs w:val="22"/>
        </w:rPr>
        <w:t>En esta propuesta hemos optado por asi</w:t>
      </w:r>
      <w:r>
        <w:rPr>
          <w:rFonts w:ascii="Calibri" w:hAnsi="Calibri" w:cs="Calibri"/>
          <w:i/>
          <w:sz w:val="22"/>
          <w:szCs w:val="22"/>
        </w:rPr>
        <w:t>gnar el 55% a los básicos, el 35</w:t>
      </w:r>
      <w:r w:rsidRPr="00E7152F">
        <w:rPr>
          <w:rFonts w:ascii="Calibri" w:hAnsi="Calibri" w:cs="Calibri"/>
          <w:i/>
          <w:sz w:val="22"/>
          <w:szCs w:val="22"/>
        </w:rPr>
        <w:t>% a los intermedios  y el 1</w:t>
      </w:r>
      <w:r>
        <w:rPr>
          <w:rFonts w:ascii="Calibri" w:hAnsi="Calibri" w:cs="Calibri"/>
          <w:i/>
          <w:sz w:val="22"/>
          <w:szCs w:val="22"/>
        </w:rPr>
        <w:t>0</w:t>
      </w:r>
      <w:r w:rsidRPr="00E7152F">
        <w:rPr>
          <w:rFonts w:ascii="Calibri" w:hAnsi="Calibri" w:cs="Calibri"/>
          <w:i/>
          <w:sz w:val="22"/>
          <w:szCs w:val="22"/>
        </w:rPr>
        <w:t>% a los avanzados.</w:t>
      </w:r>
    </w:p>
    <w:p w14:paraId="181129A1" w14:textId="77777777" w:rsidR="005B3115" w:rsidRDefault="005B3115" w:rsidP="005B3115">
      <w:pPr>
        <w:widowControl w:val="0"/>
        <w:autoSpaceDE w:val="0"/>
        <w:autoSpaceDN w:val="0"/>
        <w:adjustRightInd w:val="0"/>
        <w:spacing w:after="240" w:line="260" w:lineRule="atLeast"/>
        <w:jc w:val="both"/>
        <w:rPr>
          <w:rFonts w:ascii="Calibri" w:hAnsi="Calibri" w:cs="Calibri"/>
          <w:sz w:val="22"/>
          <w:szCs w:val="22"/>
        </w:rPr>
      </w:pPr>
      <w:r>
        <w:rPr>
          <w:rFonts w:ascii="Calibri" w:hAnsi="Calibri" w:cs="Calibri"/>
          <w:sz w:val="22"/>
          <w:szCs w:val="22"/>
        </w:rPr>
        <w:t xml:space="preserve">Cada uno de estos grupos de estándares participa en la calificación final según la siguiente </w:t>
      </w:r>
      <w:r>
        <w:rPr>
          <w:rFonts w:ascii="Calibri" w:hAnsi="Calibri" w:cs="Calibri"/>
          <w:sz w:val="22"/>
          <w:szCs w:val="22"/>
        </w:rPr>
        <w:lastRenderedPageBreak/>
        <w:t>proporción, teniendo en cuenta que los estándares que pertenecen a un mismo bloque tendrán la misma relevancia en la evaluación:</w:t>
      </w:r>
    </w:p>
    <w:p w14:paraId="6576C7A6" w14:textId="77777777" w:rsidR="005B3115" w:rsidRPr="004A5B98" w:rsidRDefault="005B3115" w:rsidP="005B3115">
      <w:pPr>
        <w:pStyle w:val="Prrafodelista"/>
        <w:widowControl w:val="0"/>
        <w:numPr>
          <w:ilvl w:val="0"/>
          <w:numId w:val="1"/>
        </w:numPr>
        <w:autoSpaceDE w:val="0"/>
        <w:autoSpaceDN w:val="0"/>
        <w:adjustRightInd w:val="0"/>
        <w:spacing w:after="240" w:line="260" w:lineRule="atLeast"/>
        <w:rPr>
          <w:rFonts w:ascii="Times" w:hAnsi="Times" w:cs="Times"/>
        </w:rPr>
      </w:pPr>
      <w:r>
        <w:rPr>
          <w:rFonts w:ascii="Calibri" w:hAnsi="Calibri" w:cs="Calibri"/>
          <w:sz w:val="22"/>
          <w:szCs w:val="22"/>
        </w:rPr>
        <w:t xml:space="preserve">Estándares básicos: </w:t>
      </w:r>
      <w:r w:rsidRPr="007F17E1">
        <w:rPr>
          <w:rFonts w:ascii="Calibri" w:hAnsi="Calibri" w:cs="Calibri"/>
          <w:sz w:val="22"/>
          <w:szCs w:val="22"/>
        </w:rPr>
        <w:t>55</w:t>
      </w:r>
      <w:r w:rsidRPr="004A5B98">
        <w:rPr>
          <w:rFonts w:ascii="Calibri" w:hAnsi="Calibri" w:cs="Calibri"/>
          <w:sz w:val="22"/>
          <w:szCs w:val="22"/>
        </w:rPr>
        <w:t xml:space="preserve">% </w:t>
      </w:r>
      <w:r>
        <w:rPr>
          <w:rFonts w:ascii="Calibri" w:hAnsi="Calibri" w:cs="Calibri"/>
          <w:sz w:val="22"/>
          <w:szCs w:val="22"/>
        </w:rPr>
        <w:t>(Calificación curricular hasta 5,5 puntos).</w:t>
      </w:r>
    </w:p>
    <w:p w14:paraId="18D6140F" w14:textId="77777777" w:rsidR="005B3115" w:rsidRPr="004A5B98" w:rsidRDefault="005B3115" w:rsidP="005B3115">
      <w:pPr>
        <w:pStyle w:val="Prrafodelista"/>
        <w:widowControl w:val="0"/>
        <w:numPr>
          <w:ilvl w:val="0"/>
          <w:numId w:val="1"/>
        </w:numPr>
        <w:autoSpaceDE w:val="0"/>
        <w:autoSpaceDN w:val="0"/>
        <w:adjustRightInd w:val="0"/>
        <w:spacing w:after="240" w:line="260" w:lineRule="atLeast"/>
        <w:rPr>
          <w:rFonts w:ascii="Calibri" w:hAnsi="Calibri" w:cs="Calibri"/>
          <w:sz w:val="22"/>
          <w:szCs w:val="22"/>
        </w:rPr>
      </w:pPr>
      <w:r w:rsidRPr="004A5B98">
        <w:rPr>
          <w:rFonts w:ascii="Calibri" w:hAnsi="Calibri" w:cs="Calibri"/>
          <w:sz w:val="22"/>
          <w:szCs w:val="22"/>
        </w:rPr>
        <w:t>Estándares interm</w:t>
      </w:r>
      <w:r>
        <w:rPr>
          <w:rFonts w:ascii="Calibri" w:hAnsi="Calibri" w:cs="Calibri"/>
          <w:sz w:val="22"/>
          <w:szCs w:val="22"/>
        </w:rPr>
        <w:t>edios: 35</w:t>
      </w:r>
      <w:r w:rsidRPr="004A5B98">
        <w:rPr>
          <w:rFonts w:ascii="Calibri" w:hAnsi="Calibri" w:cs="Calibri"/>
          <w:sz w:val="22"/>
          <w:szCs w:val="22"/>
        </w:rPr>
        <w:t xml:space="preserve">% </w:t>
      </w:r>
      <w:r>
        <w:rPr>
          <w:rFonts w:ascii="Calibri" w:hAnsi="Calibri" w:cs="Calibri"/>
          <w:sz w:val="22"/>
          <w:szCs w:val="22"/>
        </w:rPr>
        <w:t>(Calificación curricular hasta 3,5 puntos).</w:t>
      </w:r>
    </w:p>
    <w:p w14:paraId="67CC3460" w14:textId="77777777" w:rsidR="005B3115" w:rsidRPr="00530C75" w:rsidRDefault="005B3115" w:rsidP="005B3115">
      <w:pPr>
        <w:pStyle w:val="Prrafodelista"/>
        <w:widowControl w:val="0"/>
        <w:numPr>
          <w:ilvl w:val="0"/>
          <w:numId w:val="1"/>
        </w:numPr>
        <w:autoSpaceDE w:val="0"/>
        <w:autoSpaceDN w:val="0"/>
        <w:adjustRightInd w:val="0"/>
        <w:spacing w:after="240" w:line="260" w:lineRule="atLeast"/>
        <w:rPr>
          <w:rFonts w:ascii="Times" w:hAnsi="Times" w:cs="Times"/>
        </w:rPr>
      </w:pPr>
      <w:r w:rsidRPr="004A5B98">
        <w:rPr>
          <w:rFonts w:ascii="Calibri" w:hAnsi="Calibri" w:cs="Calibri"/>
          <w:sz w:val="22"/>
          <w:szCs w:val="22"/>
        </w:rPr>
        <w:t>Estándares av</w:t>
      </w:r>
      <w:r>
        <w:rPr>
          <w:rFonts w:ascii="Calibri" w:hAnsi="Calibri" w:cs="Calibri"/>
          <w:sz w:val="22"/>
          <w:szCs w:val="22"/>
        </w:rPr>
        <w:t>anzados: 10</w:t>
      </w:r>
      <w:r w:rsidRPr="004A5B98">
        <w:rPr>
          <w:rFonts w:ascii="Calibri" w:hAnsi="Calibri" w:cs="Calibri"/>
          <w:sz w:val="22"/>
          <w:szCs w:val="22"/>
        </w:rPr>
        <w:t xml:space="preserve">% </w:t>
      </w:r>
      <w:r>
        <w:rPr>
          <w:rFonts w:ascii="Calibri" w:hAnsi="Calibri" w:cs="Calibri"/>
          <w:sz w:val="22"/>
          <w:szCs w:val="22"/>
        </w:rPr>
        <w:t>(Calificación curricular hasta 1 puntos).</w:t>
      </w:r>
    </w:p>
    <w:p w14:paraId="2002382B" w14:textId="77777777" w:rsidR="005B3115" w:rsidRPr="00530C75" w:rsidRDefault="005B3115" w:rsidP="005B3115">
      <w:pPr>
        <w:widowControl w:val="0"/>
        <w:autoSpaceDE w:val="0"/>
        <w:autoSpaceDN w:val="0"/>
        <w:adjustRightInd w:val="0"/>
        <w:spacing w:after="240" w:line="260" w:lineRule="atLeast"/>
        <w:rPr>
          <w:rFonts w:ascii="Times" w:hAnsi="Times" w:cs="Times"/>
        </w:rPr>
      </w:pPr>
    </w:p>
    <w:p w14:paraId="103195AD" w14:textId="77777777" w:rsidR="005B3115" w:rsidRDefault="005B3115" w:rsidP="005B3115">
      <w:pPr>
        <w:pStyle w:val="Prrafodelista"/>
        <w:widowControl w:val="0"/>
        <w:autoSpaceDE w:val="0"/>
        <w:autoSpaceDN w:val="0"/>
        <w:adjustRightInd w:val="0"/>
        <w:spacing w:after="240" w:line="260" w:lineRule="atLeast"/>
        <w:jc w:val="both"/>
        <w:rPr>
          <w:rFonts w:ascii="Calibri" w:hAnsi="Calibri" w:cs="Calibri"/>
          <w:b/>
          <w:sz w:val="22"/>
          <w:szCs w:val="22"/>
        </w:rPr>
      </w:pPr>
    </w:p>
    <w:tbl>
      <w:tblPr>
        <w:tblStyle w:val="Tablaconcuadrcula"/>
        <w:tblpPr w:leftFromText="141" w:rightFromText="141" w:vertAnchor="text" w:horzAnchor="page" w:tblpX="1450" w:tblpY="1814"/>
        <w:tblW w:w="0" w:type="auto"/>
        <w:tblLook w:val="04A0" w:firstRow="1" w:lastRow="0" w:firstColumn="1" w:lastColumn="0" w:noHBand="0" w:noVBand="1"/>
      </w:tblPr>
      <w:tblGrid>
        <w:gridCol w:w="1883"/>
        <w:gridCol w:w="1645"/>
        <w:gridCol w:w="1665"/>
        <w:gridCol w:w="1630"/>
        <w:gridCol w:w="1891"/>
      </w:tblGrid>
      <w:tr w:rsidR="005B3115" w:rsidRPr="0024011F" w14:paraId="12DFC25A" w14:textId="77777777" w:rsidTr="005B3115">
        <w:tc>
          <w:tcPr>
            <w:tcW w:w="1883" w:type="dxa"/>
            <w:shd w:val="clear" w:color="auto" w:fill="808080" w:themeFill="background1" w:themeFillShade="80"/>
          </w:tcPr>
          <w:p w14:paraId="5947CF55" w14:textId="77777777" w:rsidR="005B3115" w:rsidRPr="0024011F" w:rsidRDefault="005B3115" w:rsidP="005B3115">
            <w:pPr>
              <w:pStyle w:val="Prrafodelista"/>
              <w:tabs>
                <w:tab w:val="left" w:pos="999"/>
              </w:tabs>
              <w:ind w:left="0"/>
              <w:jc w:val="center"/>
              <w:rPr>
                <w:rFonts w:cs="Arial"/>
                <w:color w:val="FFFFFF" w:themeColor="background1"/>
                <w:sz w:val="22"/>
                <w:szCs w:val="22"/>
              </w:rPr>
            </w:pPr>
            <w:r w:rsidRPr="0024011F">
              <w:rPr>
                <w:rFonts w:cs="Arial"/>
                <w:color w:val="FFFFFF" w:themeColor="background1"/>
                <w:sz w:val="22"/>
                <w:szCs w:val="22"/>
              </w:rPr>
              <w:t>NIVEL 1</w:t>
            </w:r>
          </w:p>
        </w:tc>
        <w:tc>
          <w:tcPr>
            <w:tcW w:w="1645" w:type="dxa"/>
            <w:shd w:val="clear" w:color="auto" w:fill="808080" w:themeFill="background1" w:themeFillShade="80"/>
          </w:tcPr>
          <w:p w14:paraId="32E9E6A4" w14:textId="77777777" w:rsidR="005B3115" w:rsidRPr="0024011F" w:rsidRDefault="005B3115" w:rsidP="005B3115">
            <w:pPr>
              <w:jc w:val="center"/>
              <w:rPr>
                <w:color w:val="FFFFFF" w:themeColor="background1"/>
                <w:sz w:val="22"/>
                <w:szCs w:val="22"/>
              </w:rPr>
            </w:pPr>
            <w:r w:rsidRPr="0024011F">
              <w:rPr>
                <w:rFonts w:cs="Arial"/>
                <w:color w:val="FFFFFF" w:themeColor="background1"/>
                <w:sz w:val="22"/>
                <w:szCs w:val="22"/>
              </w:rPr>
              <w:t>NIVEL 2</w:t>
            </w:r>
          </w:p>
        </w:tc>
        <w:tc>
          <w:tcPr>
            <w:tcW w:w="1665" w:type="dxa"/>
            <w:shd w:val="clear" w:color="auto" w:fill="808080" w:themeFill="background1" w:themeFillShade="80"/>
          </w:tcPr>
          <w:p w14:paraId="5241F798" w14:textId="77777777" w:rsidR="005B3115" w:rsidRPr="0024011F" w:rsidRDefault="005B3115" w:rsidP="005B3115">
            <w:pPr>
              <w:jc w:val="center"/>
              <w:rPr>
                <w:color w:val="FFFFFF" w:themeColor="background1"/>
                <w:sz w:val="22"/>
                <w:szCs w:val="22"/>
              </w:rPr>
            </w:pPr>
            <w:r w:rsidRPr="0024011F">
              <w:rPr>
                <w:rFonts w:cs="Arial"/>
                <w:color w:val="FFFFFF" w:themeColor="background1"/>
                <w:sz w:val="22"/>
                <w:szCs w:val="22"/>
              </w:rPr>
              <w:t>NIVEL 3</w:t>
            </w:r>
          </w:p>
        </w:tc>
        <w:tc>
          <w:tcPr>
            <w:tcW w:w="1630" w:type="dxa"/>
            <w:shd w:val="clear" w:color="auto" w:fill="808080" w:themeFill="background1" w:themeFillShade="80"/>
          </w:tcPr>
          <w:p w14:paraId="47C47023" w14:textId="77777777" w:rsidR="005B3115" w:rsidRPr="0024011F" w:rsidRDefault="005B3115" w:rsidP="005B3115">
            <w:pPr>
              <w:jc w:val="center"/>
              <w:rPr>
                <w:color w:val="FFFFFF" w:themeColor="background1"/>
                <w:sz w:val="22"/>
                <w:szCs w:val="22"/>
              </w:rPr>
            </w:pPr>
            <w:r w:rsidRPr="0024011F">
              <w:rPr>
                <w:rFonts w:cs="Arial"/>
                <w:color w:val="FFFFFF" w:themeColor="background1"/>
                <w:sz w:val="22"/>
                <w:szCs w:val="22"/>
              </w:rPr>
              <w:t>NIVEL 4</w:t>
            </w:r>
          </w:p>
        </w:tc>
        <w:tc>
          <w:tcPr>
            <w:tcW w:w="1891" w:type="dxa"/>
            <w:shd w:val="clear" w:color="auto" w:fill="808080" w:themeFill="background1" w:themeFillShade="80"/>
          </w:tcPr>
          <w:p w14:paraId="560EDA76" w14:textId="77777777" w:rsidR="005B3115" w:rsidRPr="0024011F" w:rsidRDefault="005B3115" w:rsidP="005B3115">
            <w:pPr>
              <w:jc w:val="center"/>
              <w:rPr>
                <w:color w:val="FFFFFF" w:themeColor="background1"/>
                <w:sz w:val="22"/>
                <w:szCs w:val="22"/>
              </w:rPr>
            </w:pPr>
            <w:r w:rsidRPr="0024011F">
              <w:rPr>
                <w:rFonts w:cs="Arial"/>
                <w:color w:val="FFFFFF" w:themeColor="background1"/>
                <w:sz w:val="22"/>
                <w:szCs w:val="22"/>
              </w:rPr>
              <w:t>NIVEL 5</w:t>
            </w:r>
          </w:p>
        </w:tc>
      </w:tr>
      <w:tr w:rsidR="005B3115" w:rsidRPr="0024011F" w14:paraId="585D6307" w14:textId="77777777" w:rsidTr="005B3115">
        <w:trPr>
          <w:trHeight w:val="306"/>
        </w:trPr>
        <w:tc>
          <w:tcPr>
            <w:tcW w:w="1883" w:type="dxa"/>
            <w:shd w:val="clear" w:color="auto" w:fill="FFC000"/>
            <w:vAlign w:val="center"/>
          </w:tcPr>
          <w:p w14:paraId="2D2FB63C" w14:textId="77777777" w:rsidR="005B3115" w:rsidRPr="0024011F" w:rsidRDefault="005B3115" w:rsidP="005B3115">
            <w:pPr>
              <w:pStyle w:val="Prrafodelista"/>
              <w:tabs>
                <w:tab w:val="left" w:pos="999"/>
              </w:tabs>
              <w:ind w:left="0"/>
              <w:jc w:val="center"/>
              <w:rPr>
                <w:rFonts w:cs="Arial"/>
                <w:b/>
                <w:sz w:val="22"/>
                <w:szCs w:val="22"/>
              </w:rPr>
            </w:pPr>
          </w:p>
          <w:p w14:paraId="1A6EF6D6" w14:textId="77777777" w:rsidR="005B3115" w:rsidRDefault="005B3115" w:rsidP="005B3115">
            <w:pPr>
              <w:pStyle w:val="Prrafodelista"/>
              <w:tabs>
                <w:tab w:val="left" w:pos="999"/>
              </w:tabs>
              <w:ind w:left="0"/>
              <w:jc w:val="center"/>
              <w:rPr>
                <w:rFonts w:cs="Arial"/>
                <w:b/>
                <w:sz w:val="22"/>
                <w:szCs w:val="22"/>
              </w:rPr>
            </w:pPr>
            <w:r w:rsidRPr="00247F62">
              <w:rPr>
                <w:rFonts w:cs="Arial"/>
                <w:b/>
                <w:sz w:val="22"/>
                <w:szCs w:val="22"/>
              </w:rPr>
              <w:t>NO CONSEGUIDO</w:t>
            </w:r>
          </w:p>
          <w:p w14:paraId="2E003DD2" w14:textId="77777777" w:rsidR="005B3115" w:rsidRPr="0024011F" w:rsidRDefault="005B3115" w:rsidP="005B3115">
            <w:pPr>
              <w:pStyle w:val="Prrafodelista"/>
              <w:tabs>
                <w:tab w:val="left" w:pos="999"/>
              </w:tabs>
              <w:ind w:left="0"/>
              <w:jc w:val="center"/>
              <w:rPr>
                <w:rFonts w:cs="Arial"/>
                <w:b/>
                <w:color w:val="FFFFFF" w:themeColor="background1"/>
                <w:sz w:val="22"/>
                <w:szCs w:val="22"/>
              </w:rPr>
            </w:pPr>
          </w:p>
        </w:tc>
        <w:tc>
          <w:tcPr>
            <w:tcW w:w="6831" w:type="dxa"/>
            <w:gridSpan w:val="4"/>
            <w:shd w:val="clear" w:color="auto" w:fill="92D050"/>
            <w:vAlign w:val="center"/>
          </w:tcPr>
          <w:p w14:paraId="5A505F1B" w14:textId="77777777" w:rsidR="005B3115" w:rsidRPr="0024011F" w:rsidRDefault="005B3115" w:rsidP="005B3115">
            <w:pPr>
              <w:pStyle w:val="Prrafodelista"/>
              <w:tabs>
                <w:tab w:val="left" w:pos="999"/>
              </w:tabs>
              <w:ind w:left="0"/>
              <w:jc w:val="center"/>
              <w:rPr>
                <w:rFonts w:cs="Arial"/>
                <w:b/>
                <w:color w:val="FFFFFF" w:themeColor="background1"/>
                <w:sz w:val="22"/>
                <w:szCs w:val="22"/>
              </w:rPr>
            </w:pPr>
            <w:r w:rsidRPr="0024011F">
              <w:rPr>
                <w:rFonts w:cs="Arial"/>
                <w:b/>
                <w:sz w:val="22"/>
                <w:szCs w:val="22"/>
              </w:rPr>
              <w:t>CONSEGUIDO</w:t>
            </w:r>
          </w:p>
        </w:tc>
      </w:tr>
      <w:tr w:rsidR="005B3115" w:rsidRPr="0024011F" w14:paraId="60526F8C" w14:textId="77777777" w:rsidTr="005B3115">
        <w:trPr>
          <w:trHeight w:val="834"/>
        </w:trPr>
        <w:tc>
          <w:tcPr>
            <w:tcW w:w="8714" w:type="dxa"/>
            <w:gridSpan w:val="5"/>
            <w:shd w:val="clear" w:color="auto" w:fill="FFFFFF" w:themeFill="background1"/>
            <w:vAlign w:val="center"/>
          </w:tcPr>
          <w:p w14:paraId="11ACE3AE" w14:textId="77777777" w:rsidR="005B3115" w:rsidRPr="00DF01DF" w:rsidRDefault="005B3115" w:rsidP="005B3115">
            <w:pPr>
              <w:pStyle w:val="Prrafodelista"/>
              <w:tabs>
                <w:tab w:val="left" w:pos="999"/>
              </w:tabs>
              <w:ind w:left="0"/>
              <w:rPr>
                <w:rFonts w:cs="Arial"/>
                <w:b/>
                <w:sz w:val="8"/>
                <w:szCs w:val="8"/>
              </w:rPr>
            </w:pPr>
          </w:p>
          <w:p w14:paraId="30A73F69" w14:textId="77777777" w:rsidR="005B3115" w:rsidRPr="0024011F" w:rsidRDefault="005B3115" w:rsidP="005B3115">
            <w:pPr>
              <w:pStyle w:val="Prrafodelista"/>
              <w:tabs>
                <w:tab w:val="left" w:pos="999"/>
              </w:tabs>
              <w:ind w:left="0"/>
              <w:jc w:val="both"/>
              <w:rPr>
                <w:rFonts w:cs="Arial"/>
                <w:b/>
                <w:sz w:val="22"/>
                <w:szCs w:val="22"/>
              </w:rPr>
            </w:pPr>
            <w:r w:rsidRPr="0024011F">
              <w:rPr>
                <w:rFonts w:cs="Arial"/>
                <w:b/>
                <w:sz w:val="22"/>
                <w:szCs w:val="22"/>
              </w:rPr>
              <w:t xml:space="preserve">Es decir, los niveles 2, 3 ,4 y 5 </w:t>
            </w:r>
            <w:r>
              <w:rPr>
                <w:rFonts w:cs="Arial"/>
                <w:b/>
                <w:sz w:val="22"/>
                <w:szCs w:val="22"/>
              </w:rPr>
              <w:t xml:space="preserve">determinarán el grado en el que el aprendizaje ha sido conseguido, mientras que </w:t>
            </w:r>
            <w:r w:rsidRPr="0024011F">
              <w:rPr>
                <w:rFonts w:cs="Arial"/>
                <w:b/>
                <w:sz w:val="22"/>
                <w:szCs w:val="22"/>
              </w:rPr>
              <w:t xml:space="preserve">el nivel de logro 1 será el que </w:t>
            </w:r>
            <w:r>
              <w:rPr>
                <w:rFonts w:cs="Arial"/>
                <w:b/>
                <w:sz w:val="22"/>
                <w:szCs w:val="22"/>
              </w:rPr>
              <w:t xml:space="preserve">indique que </w:t>
            </w:r>
            <w:r w:rsidRPr="0024011F">
              <w:rPr>
                <w:rFonts w:cs="Arial"/>
                <w:b/>
                <w:sz w:val="22"/>
                <w:szCs w:val="22"/>
              </w:rPr>
              <w:t>no</w:t>
            </w:r>
            <w:r>
              <w:rPr>
                <w:rFonts w:cs="Arial"/>
                <w:b/>
                <w:sz w:val="22"/>
                <w:szCs w:val="22"/>
              </w:rPr>
              <w:t xml:space="preserve"> se ha</w:t>
            </w:r>
            <w:r w:rsidRPr="0024011F">
              <w:rPr>
                <w:rFonts w:cs="Arial"/>
                <w:b/>
                <w:sz w:val="22"/>
                <w:szCs w:val="22"/>
              </w:rPr>
              <w:t xml:space="preserve"> conseguido.</w:t>
            </w:r>
          </w:p>
          <w:p w14:paraId="1B3877A3" w14:textId="77777777" w:rsidR="005B3115" w:rsidRPr="00DF01DF" w:rsidRDefault="005B3115" w:rsidP="005B3115">
            <w:pPr>
              <w:pStyle w:val="Prrafodelista"/>
              <w:tabs>
                <w:tab w:val="left" w:pos="999"/>
              </w:tabs>
              <w:ind w:left="0"/>
              <w:rPr>
                <w:rFonts w:cs="Arial"/>
                <w:b/>
                <w:sz w:val="8"/>
                <w:szCs w:val="8"/>
              </w:rPr>
            </w:pPr>
          </w:p>
        </w:tc>
      </w:tr>
    </w:tbl>
    <w:p w14:paraId="558E24B3" w14:textId="5B36FA71" w:rsidR="005B3115" w:rsidRDefault="005B3115" w:rsidP="005B3115">
      <w:pPr>
        <w:pStyle w:val="Prrafodelista"/>
        <w:widowControl w:val="0"/>
        <w:autoSpaceDE w:val="0"/>
        <w:autoSpaceDN w:val="0"/>
        <w:adjustRightInd w:val="0"/>
        <w:spacing w:after="240" w:line="260" w:lineRule="atLeast"/>
        <w:ind w:left="0"/>
        <w:jc w:val="both"/>
        <w:rPr>
          <w:rFonts w:ascii="Calibri" w:hAnsi="Calibri" w:cs="Calibri"/>
          <w:sz w:val="22"/>
          <w:szCs w:val="22"/>
        </w:rPr>
      </w:pPr>
      <w:r>
        <w:rPr>
          <w:rFonts w:ascii="Calibri" w:hAnsi="Calibri" w:cs="Calibri"/>
          <w:sz w:val="22"/>
          <w:szCs w:val="22"/>
        </w:rPr>
        <w:t xml:space="preserve">La calificación individual del alumnado se calculará partiendo del nivel de logro alcanzado en cada estándar de aprendizaje, en función de la ponderación </w:t>
      </w:r>
      <w:r w:rsidR="000E7C2F">
        <w:rPr>
          <w:rFonts w:ascii="Calibri" w:hAnsi="Calibri" w:cs="Calibri"/>
          <w:sz w:val="22"/>
          <w:szCs w:val="22"/>
        </w:rPr>
        <w:t>y los pesos específicos asignados</w:t>
      </w:r>
      <w:r>
        <w:rPr>
          <w:rFonts w:ascii="Calibri" w:hAnsi="Calibri" w:cs="Calibri"/>
          <w:sz w:val="22"/>
          <w:szCs w:val="22"/>
        </w:rPr>
        <w:t xml:space="preserve"> previamente. Los estándares de aprendizaje se calificarán teniendo en cuenta 5 niveles de logro. El primer nivel (1), significa que el aprendizaje no está conseguido, mientras que los restantes cuatro niveles permitirán determinar el nivel de logro obtenido al superar el aprendizaje.</w:t>
      </w:r>
    </w:p>
    <w:p w14:paraId="4922D4DF" w14:textId="77777777" w:rsidR="005B3115" w:rsidRPr="00BB0CFA" w:rsidRDefault="005B3115" w:rsidP="005B3115">
      <w:pPr>
        <w:pStyle w:val="Prrafodelista"/>
        <w:widowControl w:val="0"/>
        <w:autoSpaceDE w:val="0"/>
        <w:autoSpaceDN w:val="0"/>
        <w:adjustRightInd w:val="0"/>
        <w:spacing w:after="240" w:line="260" w:lineRule="atLeast"/>
        <w:ind w:left="0"/>
        <w:jc w:val="both"/>
        <w:rPr>
          <w:rFonts w:ascii="Calibri" w:hAnsi="Calibri" w:cs="Calibri"/>
          <w:sz w:val="22"/>
          <w:szCs w:val="22"/>
        </w:rPr>
      </w:pPr>
    </w:p>
    <w:p w14:paraId="584D53CA" w14:textId="77777777" w:rsidR="005B3115" w:rsidRPr="005B3115" w:rsidRDefault="005B3115" w:rsidP="005B3115">
      <w:pPr>
        <w:widowControl w:val="0"/>
        <w:autoSpaceDE w:val="0"/>
        <w:autoSpaceDN w:val="0"/>
        <w:adjustRightInd w:val="0"/>
        <w:spacing w:after="240" w:line="260" w:lineRule="atLeast"/>
        <w:jc w:val="both"/>
        <w:rPr>
          <w:rFonts w:ascii="Calibri" w:hAnsi="Calibri" w:cs="Calibri"/>
          <w:b/>
          <w:sz w:val="22"/>
          <w:szCs w:val="22"/>
        </w:rPr>
      </w:pPr>
      <w:r w:rsidRPr="005B3115">
        <w:rPr>
          <w:rFonts w:ascii="Calibri" w:hAnsi="Calibri" w:cs="Calibri"/>
          <w:b/>
          <w:sz w:val="22"/>
          <w:szCs w:val="22"/>
        </w:rPr>
        <w:t>Estándares de aprendizaje Básicos:</w:t>
      </w:r>
    </w:p>
    <w:p w14:paraId="299451FD" w14:textId="77777777" w:rsidR="005B3115" w:rsidRDefault="005B3115" w:rsidP="005B3115">
      <w:pPr>
        <w:widowControl w:val="0"/>
        <w:autoSpaceDE w:val="0"/>
        <w:autoSpaceDN w:val="0"/>
        <w:adjustRightInd w:val="0"/>
        <w:spacing w:after="240" w:line="260" w:lineRule="atLeast"/>
        <w:jc w:val="both"/>
        <w:rPr>
          <w:rFonts w:ascii="Calibri" w:hAnsi="Calibri" w:cs="Calibri"/>
          <w:sz w:val="22"/>
          <w:szCs w:val="22"/>
        </w:rPr>
      </w:pPr>
      <w:r>
        <w:rPr>
          <w:rFonts w:ascii="Calibri" w:hAnsi="Calibri" w:cs="Calibri"/>
          <w:sz w:val="22"/>
          <w:szCs w:val="22"/>
        </w:rPr>
        <w:t xml:space="preserve">La consecución de todos los estándares de aprendizaje BÁSICOS garantizará la SUFICIENCIA. Es decir, en el caso de que un alumno solo tuviera conseguidos los estándares de aprendizaje básicos, obtendría SUFICIENTE como calificación curricular. En el caso de que no se consiga algún/os estándares de aprendizaje BÁSICOS, </w:t>
      </w:r>
      <w:r w:rsidRPr="006F322A">
        <w:rPr>
          <w:rFonts w:ascii="Calibri" w:hAnsi="Calibri" w:cs="Calibri"/>
          <w:sz w:val="22"/>
          <w:szCs w:val="22"/>
        </w:rPr>
        <w:t>estos restarán proporcionalmente puntuación de la calificación total de este bloque de estándares básicos.</w:t>
      </w:r>
      <w:r>
        <w:rPr>
          <w:rFonts w:ascii="Calibri" w:hAnsi="Calibri" w:cs="Calibri"/>
          <w:sz w:val="22"/>
          <w:szCs w:val="22"/>
        </w:rPr>
        <w:t xml:space="preserve"> La calificación de este bloque se corresponde con la siguiente expresión:</w:t>
      </w:r>
    </w:p>
    <w:p w14:paraId="614D4A94" w14:textId="77777777" w:rsidR="000E7C2F" w:rsidRPr="00372EAE" w:rsidRDefault="000E7C2F" w:rsidP="000E7C2F">
      <w:pPr>
        <w:jc w:val="both"/>
        <w:rPr>
          <w:rFonts w:ascii="Arial" w:hAnsi="Arial" w:cs="Arial"/>
        </w:rPr>
      </w:pPr>
      <m:oMathPara>
        <m:oMath>
          <m:r>
            <w:rPr>
              <w:rFonts w:ascii="Cambria Math" w:hAnsi="Cambria Math" w:cs="Arial"/>
            </w:rPr>
            <m:t>5×</m:t>
          </m:r>
          <m:d>
            <m:dPr>
              <m:ctrlPr>
                <w:rPr>
                  <w:rFonts w:ascii="Cambria Math" w:hAnsi="Cambria Math" w:cs="Arial"/>
                  <w:i/>
                </w:rPr>
              </m:ctrlPr>
            </m:dPr>
            <m:e>
              <m:f>
                <m:fPr>
                  <m:ctrlPr>
                    <w:rPr>
                      <w:rFonts w:ascii="Cambria Math" w:hAnsi="Cambria Math" w:cs="Arial"/>
                      <w:i/>
                    </w:rPr>
                  </m:ctrlPr>
                </m:fPr>
                <m:num>
                  <m:r>
                    <w:rPr>
                      <w:rFonts w:ascii="Cambria Math" w:hAnsi="Cambria Math" w:cs="Arial"/>
                    </w:rPr>
                    <m:t>Σ pes</m:t>
                  </m:r>
                  <m:r>
                    <w:rPr>
                      <w:rFonts w:ascii="Cambria Math" w:hAnsi="Cambria Math" w:cs="Arial"/>
                    </w:rPr>
                    <m:t xml:space="preserve">os básicos superados </m:t>
                  </m:r>
                </m:num>
                <m:den>
                  <m:r>
                    <w:rPr>
                      <w:rFonts w:ascii="Cambria Math" w:hAnsi="Cambria Math" w:cs="Arial"/>
                    </w:rPr>
                    <m:t>Σ pesos básicos totales</m:t>
                  </m:r>
                </m:den>
              </m:f>
            </m:e>
          </m:d>
          <m:r>
            <w:rPr>
              <w:rFonts w:ascii="Cambria Math" w:hAnsi="Cambria Math" w:cs="Arial"/>
            </w:rPr>
            <m:t>+</m:t>
          </m:r>
        </m:oMath>
      </m:oMathPara>
    </w:p>
    <w:p w14:paraId="6D32F43E" w14:textId="77777777" w:rsidR="000E7C2F" w:rsidRPr="00824924" w:rsidRDefault="000E7C2F" w:rsidP="000E7C2F">
      <w:pPr>
        <w:jc w:val="center"/>
        <w:rPr>
          <w:rFonts w:ascii="Arial" w:hAnsi="Arial" w:cs="Arial"/>
        </w:rPr>
      </w:pPr>
    </w:p>
    <w:p w14:paraId="56D0DE9D" w14:textId="77777777" w:rsidR="000E7C2F" w:rsidRPr="00372EAE" w:rsidRDefault="000E7C2F" w:rsidP="000E7C2F">
      <w:pPr>
        <w:jc w:val="both"/>
        <w:rPr>
          <w:rFonts w:ascii="Arial" w:hAnsi="Arial" w:cs="Arial"/>
        </w:rPr>
      </w:pPr>
      <m:oMathPara>
        <m:oMath>
          <m:r>
            <w:rPr>
              <w:rFonts w:ascii="Cambria Math" w:hAnsi="Cambria Math" w:cs="Arial"/>
            </w:rPr>
            <m:t>+</m:t>
          </m:r>
          <m:d>
            <m:dPr>
              <m:ctrlPr>
                <w:rPr>
                  <w:rFonts w:ascii="Cambria Math" w:hAnsi="Cambria Math" w:cs="Arial"/>
                  <w:i/>
                </w:rPr>
              </m:ctrlPr>
            </m:dPr>
            <m:e>
              <m:r>
                <w:rPr>
                  <w:rFonts w:ascii="Cambria Math" w:hAnsi="Cambria Math" w:cs="Arial"/>
                </w:rPr>
                <m:t xml:space="preserve"> </m:t>
              </m:r>
              <m:f>
                <m:fPr>
                  <m:ctrlPr>
                    <w:rPr>
                      <w:rFonts w:ascii="Cambria Math" w:hAnsi="Cambria Math" w:cs="Arial"/>
                      <w:i/>
                    </w:rPr>
                  </m:ctrlPr>
                </m:fPr>
                <m:num>
                  <m:r>
                    <w:rPr>
                      <w:rFonts w:ascii="Cambria Math" w:hAnsi="Cambria Math" w:cs="Arial"/>
                    </w:rPr>
                    <m:t>Σ (</m:t>
                  </m:r>
                  <m:r>
                    <m:rPr>
                      <m:sty m:val="bi"/>
                    </m:rPr>
                    <w:rPr>
                      <w:rFonts w:ascii="Cambria Math" w:hAnsi="Cambria Math" w:cs="Arial"/>
                    </w:rPr>
                    <m:t>niveles de logro normalizados</m:t>
                  </m:r>
                  <m:r>
                    <w:rPr>
                      <w:rFonts w:ascii="Cambria Math" w:hAnsi="Cambria Math" w:cs="Arial"/>
                    </w:rPr>
                    <m:t xml:space="preserve">  básicos &gt;1×peso estándar)</m:t>
                  </m:r>
                </m:num>
                <m:den>
                  <m:r>
                    <w:rPr>
                      <w:rFonts w:ascii="Cambria Math" w:hAnsi="Cambria Math" w:cs="Arial"/>
                    </w:rPr>
                    <m:t xml:space="preserve">Σ pesos estándares básicos ×  </m:t>
                  </m:r>
                  <m:r>
                    <m:rPr>
                      <m:sty m:val="bi"/>
                    </m:rPr>
                    <w:rPr>
                      <w:rFonts w:ascii="Cambria Math" w:hAnsi="Cambria Math" w:cs="Arial"/>
                    </w:rPr>
                    <m:t xml:space="preserve">4 </m:t>
                  </m:r>
                </m:den>
              </m:f>
            </m:e>
          </m:d>
          <m:r>
            <w:rPr>
              <w:rFonts w:ascii="Cambria Math" w:hAnsi="Cambria Math" w:cs="Arial"/>
            </w:rPr>
            <m:t xml:space="preserve">× </m:t>
          </m:r>
        </m:oMath>
      </m:oMathPara>
    </w:p>
    <w:p w14:paraId="25F9230D" w14:textId="77777777" w:rsidR="000E7C2F" w:rsidRPr="00372EAE" w:rsidRDefault="000E7C2F" w:rsidP="000E7C2F">
      <w:pPr>
        <w:jc w:val="both"/>
        <w:rPr>
          <w:rFonts w:ascii="Arial" w:hAnsi="Arial" w:cs="Arial"/>
        </w:rPr>
      </w:pPr>
    </w:p>
    <w:p w14:paraId="61C2606B" w14:textId="77777777" w:rsidR="000E7C2F" w:rsidRPr="00372EAE" w:rsidRDefault="000E7C2F" w:rsidP="000E7C2F">
      <w:pPr>
        <w:jc w:val="both"/>
        <w:rPr>
          <w:rFonts w:ascii="Arial" w:hAnsi="Arial" w:cs="Arial"/>
        </w:rPr>
      </w:pPr>
      <m:oMathPara>
        <m:oMathParaPr>
          <m:jc m:val="center"/>
        </m:oMathParaPr>
        <m:oMath>
          <m:r>
            <w:rPr>
              <w:rFonts w:ascii="Cambria Math" w:hAnsi="Cambria Math" w:cs="Arial"/>
            </w:rPr>
            <m:t>×</m:t>
          </m:r>
          <m:d>
            <m:dPr>
              <m:ctrlPr>
                <w:rPr>
                  <w:rFonts w:ascii="Cambria Math" w:hAnsi="Cambria Math" w:cs="Arial"/>
                  <w:i/>
                </w:rPr>
              </m:ctrlPr>
            </m:dPr>
            <m:e>
              <m:r>
                <w:rPr>
                  <w:rFonts w:ascii="Cambria Math" w:hAnsi="Cambria Math" w:cs="Arial"/>
                </w:rPr>
                <m:t>peso básicos-50%</m:t>
              </m:r>
            </m:e>
          </m:d>
          <m:r>
            <w:rPr>
              <w:rFonts w:ascii="Cambria Math" w:hAnsi="Cambria Math" w:cs="Arial"/>
            </w:rPr>
            <m:t xml:space="preserve"> ×10</m:t>
          </m:r>
        </m:oMath>
      </m:oMathPara>
    </w:p>
    <w:p w14:paraId="78F9D9A3" w14:textId="77777777" w:rsidR="000E7C2F" w:rsidRDefault="000E7C2F" w:rsidP="000E7C2F">
      <w:pPr>
        <w:widowControl w:val="0"/>
        <w:autoSpaceDE w:val="0"/>
        <w:autoSpaceDN w:val="0"/>
        <w:adjustRightInd w:val="0"/>
        <w:spacing w:after="240" w:line="260" w:lineRule="atLeast"/>
        <w:jc w:val="both"/>
        <w:rPr>
          <w:rFonts w:ascii="Times" w:hAnsi="Times" w:cs="Times"/>
          <w:lang w:val="es-ES"/>
        </w:rPr>
      </w:pPr>
    </w:p>
    <w:p w14:paraId="241F2A38" w14:textId="77777777" w:rsidR="000E7C2F" w:rsidRDefault="000E7C2F" w:rsidP="000E7C2F">
      <w:pPr>
        <w:widowControl w:val="0"/>
        <w:autoSpaceDE w:val="0"/>
        <w:autoSpaceDN w:val="0"/>
        <w:adjustRightInd w:val="0"/>
        <w:spacing w:after="240" w:line="260" w:lineRule="atLeast"/>
        <w:jc w:val="both"/>
        <w:rPr>
          <w:rFonts w:ascii="Calibri" w:hAnsi="Calibri" w:cs="Calibri"/>
          <w:sz w:val="22"/>
          <w:szCs w:val="22"/>
          <w:lang w:val="es-ES"/>
        </w:rPr>
      </w:pPr>
      <w:r>
        <w:rPr>
          <w:rFonts w:ascii="Calibri" w:hAnsi="Calibri" w:cs="Calibri"/>
          <w:sz w:val="22"/>
          <w:szCs w:val="22"/>
          <w:lang w:val="es-ES"/>
        </w:rPr>
        <w:t>Lo niveles de logro normalizados consisten en restar una unidad al nivel de logro alcanzado por el alumno:</w:t>
      </w:r>
    </w:p>
    <w:p w14:paraId="5AA35E50" w14:textId="77777777" w:rsidR="000E7C2F" w:rsidRPr="00B47F03" w:rsidRDefault="000E7C2F" w:rsidP="000E7C2F">
      <w:pPr>
        <w:widowControl w:val="0"/>
        <w:autoSpaceDE w:val="0"/>
        <w:autoSpaceDN w:val="0"/>
        <w:adjustRightInd w:val="0"/>
        <w:spacing w:after="240" w:line="260" w:lineRule="atLeast"/>
        <w:jc w:val="both"/>
        <w:rPr>
          <w:rFonts w:ascii="Calibri" w:hAnsi="Calibri" w:cs="Calibri"/>
          <w:sz w:val="22"/>
          <w:szCs w:val="22"/>
          <w:lang w:val="es-ES"/>
        </w:rPr>
      </w:pPr>
      <m:oMathPara>
        <m:oMath>
          <m:r>
            <w:rPr>
              <w:rFonts w:ascii="Cambria Math" w:hAnsi="Cambria Math" w:cs="Calibri"/>
              <w:sz w:val="22"/>
              <w:szCs w:val="22"/>
              <w:lang w:val="es-ES"/>
            </w:rPr>
            <m:t>nivel de logro normalizado=nivel del logro-1</m:t>
          </m:r>
        </m:oMath>
      </m:oMathPara>
    </w:p>
    <w:p w14:paraId="48661733" w14:textId="77777777" w:rsidR="000E7C2F" w:rsidRDefault="000E7C2F" w:rsidP="000E7C2F">
      <w:pPr>
        <w:widowControl w:val="0"/>
        <w:autoSpaceDE w:val="0"/>
        <w:autoSpaceDN w:val="0"/>
        <w:adjustRightInd w:val="0"/>
        <w:spacing w:after="240" w:line="260" w:lineRule="atLeast"/>
        <w:jc w:val="both"/>
        <w:rPr>
          <w:rFonts w:ascii="Calibri" w:hAnsi="Calibri" w:cs="Calibri"/>
          <w:sz w:val="22"/>
          <w:szCs w:val="22"/>
          <w:lang w:val="es-ES"/>
        </w:rPr>
      </w:pPr>
      <w:r>
        <w:rPr>
          <w:rFonts w:ascii="Calibri" w:hAnsi="Calibri" w:cs="Calibri"/>
          <w:sz w:val="22"/>
          <w:szCs w:val="22"/>
          <w:lang w:val="es-ES"/>
        </w:rPr>
        <w:t xml:space="preserve">El 4 que aparece en el denominador de la fórmula corresponde con restar 1 al máximo nivel de logro utilizado en la rúbrica. Como en nuestro caso utilizamos rúbricas de 5 niveles de logro el </w:t>
      </w:r>
      <w:r>
        <w:rPr>
          <w:rFonts w:ascii="Calibri" w:hAnsi="Calibri" w:cs="Calibri"/>
          <w:sz w:val="22"/>
          <w:szCs w:val="22"/>
          <w:lang w:val="es-ES"/>
        </w:rPr>
        <w:lastRenderedPageBreak/>
        <w:t xml:space="preserve">valor sería </w:t>
      </w:r>
      <w:r w:rsidRPr="00145B18">
        <w:rPr>
          <w:rFonts w:ascii="Calibri" w:hAnsi="Calibri" w:cs="Calibri"/>
          <w:b/>
          <w:i/>
          <w:sz w:val="22"/>
          <w:szCs w:val="22"/>
          <w:lang w:val="es-ES"/>
        </w:rPr>
        <w:t>5 - 1 = 4</w:t>
      </w:r>
    </w:p>
    <w:p w14:paraId="0F94EE33" w14:textId="77777777" w:rsidR="000E7C2F" w:rsidRDefault="000E7C2F" w:rsidP="000E7C2F">
      <w:pPr>
        <w:widowControl w:val="0"/>
        <w:autoSpaceDE w:val="0"/>
        <w:autoSpaceDN w:val="0"/>
        <w:adjustRightInd w:val="0"/>
        <w:spacing w:after="240" w:line="260" w:lineRule="atLeast"/>
        <w:jc w:val="both"/>
        <w:rPr>
          <w:rFonts w:ascii="Calibri" w:hAnsi="Calibri" w:cs="Calibri"/>
          <w:sz w:val="22"/>
          <w:szCs w:val="22"/>
          <w:lang w:val="es-ES"/>
        </w:rPr>
      </w:pPr>
      <w:r>
        <w:rPr>
          <w:rFonts w:ascii="Calibri" w:hAnsi="Calibri" w:cs="Calibri"/>
          <w:sz w:val="22"/>
          <w:szCs w:val="22"/>
          <w:lang w:val="es-ES"/>
        </w:rPr>
        <w:t xml:space="preserve">La calificación alcanzada en los bloques de estándares </w:t>
      </w:r>
      <w:r w:rsidRPr="00B47F03">
        <w:rPr>
          <w:rFonts w:ascii="Calibri" w:hAnsi="Calibri" w:cs="Calibri"/>
          <w:b/>
          <w:sz w:val="22"/>
          <w:szCs w:val="22"/>
          <w:lang w:val="es-ES"/>
        </w:rPr>
        <w:t>Intermedios</w:t>
      </w:r>
      <w:r>
        <w:rPr>
          <w:rFonts w:ascii="Calibri" w:hAnsi="Calibri" w:cs="Calibri"/>
          <w:sz w:val="22"/>
          <w:szCs w:val="22"/>
          <w:lang w:val="es-ES"/>
        </w:rPr>
        <w:t xml:space="preserve"> se corresponde con la siguiente expresión:</w:t>
      </w:r>
    </w:p>
    <w:p w14:paraId="5F82D8DE" w14:textId="77777777" w:rsidR="000E7C2F" w:rsidRPr="00145B18" w:rsidRDefault="0024378E" w:rsidP="000E7C2F">
      <w:pPr>
        <w:jc w:val="both"/>
        <w:rPr>
          <w:rFonts w:ascii="Arial" w:hAnsi="Arial" w:cs="Arial"/>
          <w:sz w:val="20"/>
          <w:szCs w:val="20"/>
        </w:rPr>
      </w:pPr>
      <m:oMathPara>
        <m:oMathParaPr>
          <m:jc m:val="center"/>
        </m:oMathParaPr>
        <m:oMath>
          <m:f>
            <m:fPr>
              <m:ctrlPr>
                <w:rPr>
                  <w:rFonts w:ascii="Cambria Math" w:hAnsi="Cambria Math" w:cs="Arial"/>
                  <w:sz w:val="20"/>
                  <w:szCs w:val="20"/>
                </w:rPr>
              </m:ctrlPr>
            </m:fPr>
            <m:num>
              <m:r>
                <m:rPr>
                  <m:sty m:val="p"/>
                </m:rPr>
                <w:rPr>
                  <w:rFonts w:ascii="Cambria Math" w:hAnsi="Cambria Math" w:cs="Cambria Math"/>
                  <w:sz w:val="20"/>
                  <w:szCs w:val="20"/>
                </w:rPr>
                <m:t xml:space="preserve">Σ  nivel </m:t>
              </m:r>
              <m:r>
                <m:rPr>
                  <m:sty m:val="b"/>
                </m:rPr>
                <w:rPr>
                  <w:rFonts w:ascii="Cambria Math" w:hAnsi="Cambria Math" w:cs="Cambria Math"/>
                  <w:sz w:val="20"/>
                  <w:szCs w:val="20"/>
                </w:rPr>
                <m:t>normalizado</m:t>
              </m:r>
              <m:r>
                <m:rPr>
                  <m:sty m:val="p"/>
                </m:rPr>
                <w:rPr>
                  <w:rFonts w:ascii="Cambria Math" w:hAnsi="Cambria Math" w:cs="Cambria Math"/>
                  <w:sz w:val="20"/>
                  <w:szCs w:val="20"/>
                </w:rPr>
                <m:t xml:space="preserve"> de logro conseguido por el alumno  x  peso estándar </m:t>
              </m:r>
            </m:num>
            <m:den>
              <m:r>
                <m:rPr>
                  <m:sty m:val="p"/>
                </m:rPr>
                <w:rPr>
                  <w:rFonts w:ascii="Cambria Math" w:hAnsi="Cambria Math" w:cs="Cambria Math"/>
                  <w:sz w:val="20"/>
                  <w:szCs w:val="20"/>
                </w:rPr>
                <m:t xml:space="preserve">Σ peso estándares intermedios   x  4 </m:t>
              </m:r>
            </m:den>
          </m:f>
          <m:r>
            <w:rPr>
              <w:rFonts w:ascii="Cambria Math" w:hAnsi="Cambria Math" w:cs="Arial"/>
              <w:sz w:val="20"/>
              <w:szCs w:val="20"/>
            </w:rPr>
            <m:t>×peso Intermedios×10</m:t>
          </m:r>
        </m:oMath>
      </m:oMathPara>
    </w:p>
    <w:p w14:paraId="39C69B49" w14:textId="77777777" w:rsidR="000E7C2F" w:rsidRDefault="000E7C2F" w:rsidP="000E7C2F">
      <w:pPr>
        <w:widowControl w:val="0"/>
        <w:autoSpaceDE w:val="0"/>
        <w:autoSpaceDN w:val="0"/>
        <w:adjustRightInd w:val="0"/>
        <w:spacing w:after="240" w:line="260" w:lineRule="atLeast"/>
        <w:jc w:val="both"/>
        <w:rPr>
          <w:rFonts w:ascii="Calibri" w:hAnsi="Calibri" w:cs="Calibri"/>
          <w:sz w:val="22"/>
          <w:szCs w:val="22"/>
          <w:lang w:val="es-ES"/>
        </w:rPr>
      </w:pPr>
    </w:p>
    <w:p w14:paraId="134002CF" w14:textId="77777777" w:rsidR="000E7C2F" w:rsidRDefault="000E7C2F" w:rsidP="000E7C2F">
      <w:pPr>
        <w:widowControl w:val="0"/>
        <w:autoSpaceDE w:val="0"/>
        <w:autoSpaceDN w:val="0"/>
        <w:adjustRightInd w:val="0"/>
        <w:spacing w:after="240" w:line="260" w:lineRule="atLeast"/>
        <w:jc w:val="both"/>
        <w:rPr>
          <w:rFonts w:ascii="Calibri" w:hAnsi="Calibri" w:cs="Calibri"/>
          <w:sz w:val="22"/>
          <w:szCs w:val="22"/>
          <w:lang w:val="es-ES"/>
        </w:rPr>
      </w:pPr>
      <w:r>
        <w:rPr>
          <w:rFonts w:ascii="Calibri" w:hAnsi="Calibri" w:cs="Calibri"/>
          <w:sz w:val="22"/>
          <w:szCs w:val="22"/>
          <w:lang w:val="es-ES"/>
        </w:rPr>
        <w:t xml:space="preserve">La calificación alcanzada en los bloques de estándares </w:t>
      </w:r>
      <w:r>
        <w:rPr>
          <w:rFonts w:ascii="Calibri" w:hAnsi="Calibri" w:cs="Calibri"/>
          <w:b/>
          <w:sz w:val="22"/>
          <w:szCs w:val="22"/>
          <w:lang w:val="es-ES"/>
        </w:rPr>
        <w:t>A</w:t>
      </w:r>
      <w:r w:rsidRPr="00B47F03">
        <w:rPr>
          <w:rFonts w:ascii="Calibri" w:hAnsi="Calibri" w:cs="Calibri"/>
          <w:b/>
          <w:sz w:val="22"/>
          <w:szCs w:val="22"/>
          <w:lang w:val="es-ES"/>
        </w:rPr>
        <w:t>vanzados</w:t>
      </w:r>
      <w:r>
        <w:rPr>
          <w:rFonts w:ascii="Calibri" w:hAnsi="Calibri" w:cs="Calibri"/>
          <w:sz w:val="22"/>
          <w:szCs w:val="22"/>
          <w:lang w:val="es-ES"/>
        </w:rPr>
        <w:t xml:space="preserve"> se corresponde con la siguiente expresión:</w:t>
      </w:r>
    </w:p>
    <w:p w14:paraId="19B87706" w14:textId="77777777" w:rsidR="000E7C2F" w:rsidRDefault="000E7C2F" w:rsidP="000E7C2F">
      <w:pPr>
        <w:widowControl w:val="0"/>
        <w:autoSpaceDE w:val="0"/>
        <w:autoSpaceDN w:val="0"/>
        <w:adjustRightInd w:val="0"/>
        <w:spacing w:after="240" w:line="260" w:lineRule="atLeast"/>
        <w:jc w:val="both"/>
        <w:rPr>
          <w:rFonts w:ascii="Calibri" w:hAnsi="Calibri" w:cs="Calibri"/>
          <w:sz w:val="22"/>
          <w:szCs w:val="22"/>
          <w:lang w:val="es-ES"/>
        </w:rPr>
      </w:pPr>
    </w:p>
    <w:p w14:paraId="54BAE105" w14:textId="77777777" w:rsidR="000E7C2F" w:rsidRPr="00145B18" w:rsidRDefault="0024378E" w:rsidP="000E7C2F">
      <w:pPr>
        <w:jc w:val="both"/>
        <w:rPr>
          <w:rFonts w:ascii="Arial" w:hAnsi="Arial" w:cs="Arial"/>
          <w:sz w:val="20"/>
          <w:szCs w:val="20"/>
        </w:rPr>
      </w:pPr>
      <m:oMathPara>
        <m:oMathParaPr>
          <m:jc m:val="center"/>
        </m:oMathParaPr>
        <m:oMath>
          <m:f>
            <m:fPr>
              <m:ctrlPr>
                <w:rPr>
                  <w:rFonts w:ascii="Cambria Math" w:hAnsi="Cambria Math" w:cs="Arial"/>
                  <w:sz w:val="20"/>
                  <w:szCs w:val="20"/>
                </w:rPr>
              </m:ctrlPr>
            </m:fPr>
            <m:num>
              <m:r>
                <m:rPr>
                  <m:sty m:val="p"/>
                </m:rPr>
                <w:rPr>
                  <w:rFonts w:ascii="Cambria Math" w:hAnsi="Cambria Math" w:cs="Cambria Math"/>
                  <w:sz w:val="20"/>
                  <w:szCs w:val="20"/>
                </w:rPr>
                <m:t xml:space="preserve">Σ  nivel </m:t>
              </m:r>
              <m:r>
                <m:rPr>
                  <m:sty m:val="b"/>
                </m:rPr>
                <w:rPr>
                  <w:rFonts w:ascii="Cambria Math" w:hAnsi="Cambria Math" w:cs="Cambria Math"/>
                  <w:sz w:val="20"/>
                  <w:szCs w:val="20"/>
                </w:rPr>
                <m:t>normalizado</m:t>
              </m:r>
              <m:r>
                <m:rPr>
                  <m:sty m:val="p"/>
                </m:rPr>
                <w:rPr>
                  <w:rFonts w:ascii="Cambria Math" w:hAnsi="Cambria Math" w:cs="Cambria Math"/>
                  <w:sz w:val="20"/>
                  <w:szCs w:val="20"/>
                </w:rPr>
                <m:t xml:space="preserve"> de logro conseguido por el alumno  x  peso estándar </m:t>
              </m:r>
            </m:num>
            <m:den>
              <m:r>
                <m:rPr>
                  <m:sty m:val="p"/>
                </m:rPr>
                <w:rPr>
                  <w:rFonts w:ascii="Cambria Math" w:hAnsi="Cambria Math" w:cs="Cambria Math"/>
                  <w:sz w:val="20"/>
                  <w:szCs w:val="20"/>
                </w:rPr>
                <m:t xml:space="preserve">Σ peso estándares avanzados   x  4 </m:t>
              </m:r>
            </m:den>
          </m:f>
          <m:r>
            <w:rPr>
              <w:rFonts w:ascii="Cambria Math" w:hAnsi="Cambria Math" w:cs="Arial"/>
              <w:sz w:val="20"/>
              <w:szCs w:val="20"/>
            </w:rPr>
            <m:t>×peso Avanzados×10</m:t>
          </m:r>
        </m:oMath>
      </m:oMathPara>
    </w:p>
    <w:p w14:paraId="3C42A345" w14:textId="77777777" w:rsidR="005B3115" w:rsidRDefault="005B3115" w:rsidP="005B3115">
      <w:pPr>
        <w:widowControl w:val="0"/>
        <w:autoSpaceDE w:val="0"/>
        <w:autoSpaceDN w:val="0"/>
        <w:adjustRightInd w:val="0"/>
        <w:spacing w:after="240" w:line="260" w:lineRule="atLeast"/>
        <w:jc w:val="both"/>
        <w:rPr>
          <w:rFonts w:ascii="Calibri" w:hAnsi="Calibri" w:cs="Calibri"/>
          <w:sz w:val="22"/>
          <w:szCs w:val="22"/>
        </w:rPr>
      </w:pPr>
    </w:p>
    <w:p w14:paraId="637E740B" w14:textId="77777777" w:rsidR="005B3115" w:rsidRDefault="005B3115" w:rsidP="005B3115">
      <w:pPr>
        <w:widowControl w:val="0"/>
        <w:autoSpaceDE w:val="0"/>
        <w:autoSpaceDN w:val="0"/>
        <w:adjustRightInd w:val="0"/>
        <w:spacing w:after="240" w:line="260" w:lineRule="atLeast"/>
        <w:jc w:val="both"/>
        <w:rPr>
          <w:rFonts w:ascii="Calibri" w:hAnsi="Calibri" w:cs="Calibri"/>
          <w:sz w:val="22"/>
          <w:szCs w:val="22"/>
        </w:rPr>
      </w:pPr>
    </w:p>
    <w:p w14:paraId="0536AC02" w14:textId="48EF797D" w:rsidR="005B3115" w:rsidRDefault="005B3115" w:rsidP="005B3115">
      <w:pPr>
        <w:widowControl w:val="0"/>
        <w:autoSpaceDE w:val="0"/>
        <w:autoSpaceDN w:val="0"/>
        <w:adjustRightInd w:val="0"/>
        <w:spacing w:after="240" w:line="260" w:lineRule="atLeast"/>
        <w:jc w:val="both"/>
        <w:rPr>
          <w:rFonts w:ascii="Times" w:hAnsi="Times" w:cs="Times"/>
        </w:rPr>
      </w:pPr>
      <w:r>
        <w:rPr>
          <w:rFonts w:ascii="Calibri" w:hAnsi="Calibri" w:cs="Calibri"/>
          <w:sz w:val="22"/>
          <w:szCs w:val="22"/>
        </w:rPr>
        <w:t xml:space="preserve">La CALIFICACIÓN EN CADA EVALUACIÓN será, por lo tanto, la suma de las calificaciones obtenidas en cada bloque de </w:t>
      </w:r>
      <w:r w:rsidR="0024378E">
        <w:rPr>
          <w:rFonts w:ascii="Calibri" w:hAnsi="Calibri" w:cs="Calibri"/>
          <w:sz w:val="22"/>
          <w:szCs w:val="22"/>
        </w:rPr>
        <w:t>estándares abordados hasta ese momento</w:t>
      </w:r>
      <w:bookmarkStart w:id="0" w:name="_GoBack"/>
      <w:bookmarkEnd w:id="0"/>
      <w:r>
        <w:rPr>
          <w:rFonts w:ascii="Calibri" w:hAnsi="Calibri" w:cs="Calibri"/>
          <w:sz w:val="22"/>
          <w:szCs w:val="22"/>
        </w:rPr>
        <w:t xml:space="preserve">, a través de la valoración de los resultados después de aplicar los diferentes instrumentos de evaluación (pruebas escritas, elaboración y presentación de trabajos, observaciones de aula, cuadernos de clase, etc.). </w:t>
      </w:r>
    </w:p>
    <w:p w14:paraId="1D716C52" w14:textId="77777777" w:rsidR="005B3115" w:rsidRDefault="005B3115" w:rsidP="005B3115">
      <w:pPr>
        <w:rPr>
          <w:rFonts w:ascii="Calibri" w:hAnsi="Calibri" w:cs="Calibri"/>
          <w:sz w:val="22"/>
          <w:szCs w:val="22"/>
        </w:rPr>
      </w:pPr>
      <w:r w:rsidRPr="00B964E4">
        <w:rPr>
          <w:rFonts w:ascii="Calibri" w:hAnsi="Calibri" w:cs="Calibri"/>
          <w:sz w:val="22"/>
          <w:szCs w:val="22"/>
        </w:rPr>
        <w:t xml:space="preserve">CALIFICACIÓN </w:t>
      </w:r>
      <w:r>
        <w:rPr>
          <w:rFonts w:ascii="Calibri" w:hAnsi="Calibri" w:cs="Calibri"/>
          <w:sz w:val="22"/>
          <w:szCs w:val="22"/>
        </w:rPr>
        <w:t xml:space="preserve">DE LA EVALUACIÓN </w:t>
      </w:r>
      <w:r w:rsidRPr="00B964E4">
        <w:rPr>
          <w:rFonts w:ascii="Calibri" w:hAnsi="Calibri" w:cs="Calibri"/>
          <w:sz w:val="22"/>
          <w:szCs w:val="22"/>
        </w:rPr>
        <w:t xml:space="preserve">= </w:t>
      </w:r>
      <w:proofErr w:type="spellStart"/>
      <w:r w:rsidRPr="00B964E4">
        <w:rPr>
          <w:rFonts w:ascii="Calibri" w:hAnsi="Calibri" w:cs="Calibri"/>
          <w:sz w:val="22"/>
          <w:szCs w:val="22"/>
        </w:rPr>
        <w:t>calif</w:t>
      </w:r>
      <w:proofErr w:type="spellEnd"/>
      <w:r>
        <w:rPr>
          <w:rFonts w:ascii="Calibri" w:hAnsi="Calibri" w:cs="Calibri"/>
          <w:sz w:val="22"/>
          <w:szCs w:val="22"/>
        </w:rPr>
        <w:t>.</w:t>
      </w:r>
      <w:r w:rsidRPr="00B964E4">
        <w:rPr>
          <w:rFonts w:ascii="Calibri" w:hAnsi="Calibri" w:cs="Calibri"/>
          <w:sz w:val="22"/>
          <w:szCs w:val="22"/>
        </w:rPr>
        <w:t xml:space="preserve"> BÁSICOS + </w:t>
      </w:r>
      <w:proofErr w:type="spellStart"/>
      <w:r w:rsidRPr="00B964E4">
        <w:rPr>
          <w:rFonts w:ascii="Calibri" w:hAnsi="Calibri" w:cs="Calibri"/>
          <w:sz w:val="22"/>
          <w:szCs w:val="22"/>
        </w:rPr>
        <w:t>calif</w:t>
      </w:r>
      <w:proofErr w:type="spellEnd"/>
      <w:r>
        <w:rPr>
          <w:rFonts w:ascii="Calibri" w:hAnsi="Calibri" w:cs="Calibri"/>
          <w:sz w:val="22"/>
          <w:szCs w:val="22"/>
        </w:rPr>
        <w:t>.</w:t>
      </w:r>
      <w:r w:rsidRPr="00B964E4">
        <w:rPr>
          <w:rFonts w:ascii="Calibri" w:hAnsi="Calibri" w:cs="Calibri"/>
          <w:sz w:val="22"/>
          <w:szCs w:val="22"/>
        </w:rPr>
        <w:t xml:space="preserve"> INTERMEDIOS + </w:t>
      </w:r>
      <w:proofErr w:type="spellStart"/>
      <w:r w:rsidRPr="00B964E4">
        <w:rPr>
          <w:rFonts w:ascii="Calibri" w:hAnsi="Calibri" w:cs="Calibri"/>
          <w:sz w:val="22"/>
          <w:szCs w:val="22"/>
        </w:rPr>
        <w:t>calif</w:t>
      </w:r>
      <w:proofErr w:type="spellEnd"/>
      <w:r>
        <w:rPr>
          <w:rFonts w:ascii="Calibri" w:hAnsi="Calibri" w:cs="Calibri"/>
          <w:sz w:val="22"/>
          <w:szCs w:val="22"/>
        </w:rPr>
        <w:t>.</w:t>
      </w:r>
      <w:r w:rsidRPr="00B964E4">
        <w:rPr>
          <w:rFonts w:ascii="Calibri" w:hAnsi="Calibri" w:cs="Calibri"/>
          <w:sz w:val="22"/>
          <w:szCs w:val="22"/>
        </w:rPr>
        <w:t xml:space="preserve"> AVANZADOS </w:t>
      </w:r>
    </w:p>
    <w:p w14:paraId="235543FB" w14:textId="77777777" w:rsidR="005B3115" w:rsidRDefault="005B3115" w:rsidP="005B3115">
      <w:pPr>
        <w:rPr>
          <w:rFonts w:ascii="Calibri" w:hAnsi="Calibri" w:cs="Calibri"/>
          <w:sz w:val="22"/>
          <w:szCs w:val="22"/>
        </w:rPr>
      </w:pPr>
    </w:p>
    <w:p w14:paraId="191DC4E2" w14:textId="77777777" w:rsidR="005B3115" w:rsidRDefault="005B3115" w:rsidP="005B3115">
      <w:pPr>
        <w:rPr>
          <w:rFonts w:ascii="Calibri" w:hAnsi="Calibri" w:cs="Calibri"/>
          <w:sz w:val="22"/>
          <w:szCs w:val="22"/>
        </w:rPr>
      </w:pPr>
      <w:r>
        <w:rPr>
          <w:rFonts w:ascii="Calibri" w:hAnsi="Calibri" w:cs="Calibri"/>
          <w:sz w:val="22"/>
          <w:szCs w:val="22"/>
        </w:rPr>
        <w:t>La superación de la materia se conseguirá con una calificación igual o mayor que 5.</w:t>
      </w:r>
    </w:p>
    <w:p w14:paraId="2616DDA2" w14:textId="77777777" w:rsidR="005B3115" w:rsidRDefault="005B3115" w:rsidP="005B3115">
      <w:pPr>
        <w:rPr>
          <w:rFonts w:ascii="Calibri" w:hAnsi="Calibri" w:cs="Calibri"/>
          <w:sz w:val="22"/>
          <w:szCs w:val="22"/>
        </w:rPr>
      </w:pPr>
    </w:p>
    <w:p w14:paraId="564146EC" w14:textId="77777777" w:rsidR="005B3115" w:rsidRDefault="005B3115" w:rsidP="005B3115">
      <w:pPr>
        <w:jc w:val="both"/>
        <w:rPr>
          <w:rFonts w:ascii="Calibri" w:hAnsi="Calibri" w:cs="Calibri"/>
          <w:sz w:val="22"/>
          <w:szCs w:val="22"/>
        </w:rPr>
      </w:pPr>
      <w:r>
        <w:rPr>
          <w:rFonts w:ascii="Calibri" w:hAnsi="Calibri" w:cs="Calibri"/>
          <w:sz w:val="22"/>
          <w:szCs w:val="22"/>
        </w:rPr>
        <w:t>Las calificaciones trimestrales y final, tendrán en cuenta los resultados obtenidos en cada uno de los estándares de aprendizaje que se hayan abordado en cada momento. Dado su carácter de evaluación continua, la calificación de cada aprendizaje corresponderá con la última  emitida.</w:t>
      </w:r>
    </w:p>
    <w:p w14:paraId="214AB8FB" w14:textId="77777777" w:rsidR="005B3115" w:rsidRDefault="005B3115" w:rsidP="005B3115">
      <w:pPr>
        <w:jc w:val="both"/>
        <w:rPr>
          <w:rFonts w:ascii="Calibri" w:hAnsi="Calibri" w:cs="Calibri"/>
          <w:sz w:val="22"/>
          <w:szCs w:val="22"/>
        </w:rPr>
      </w:pPr>
    </w:p>
    <w:p w14:paraId="4AA74894" w14:textId="77777777" w:rsidR="005B3115" w:rsidRDefault="005B3115" w:rsidP="005B3115">
      <w:pPr>
        <w:jc w:val="both"/>
        <w:rPr>
          <w:rFonts w:ascii="Calibri" w:hAnsi="Calibri" w:cs="Calibri"/>
          <w:sz w:val="22"/>
          <w:szCs w:val="22"/>
        </w:rPr>
      </w:pPr>
      <w:r>
        <w:rPr>
          <w:rFonts w:ascii="Calibri" w:hAnsi="Calibri" w:cs="Calibri"/>
          <w:sz w:val="22"/>
          <w:szCs w:val="22"/>
        </w:rPr>
        <w:t xml:space="preserve">Las competencias clave no se califican, pero sí se evalúan, y es preciso registrar el nivel de logro de estos aprendizajes que, por su carácter de transversales a distintas materias, serán el resultado de las aportaciones de todos los docentes que imparten clase a un mismo grupo de alumnos. Con el fin de facilitar la evaluación de estos aprendizajes, los diferentes estándares se asociarán a una o varias competencias clave, de manera que al calificar aquellos, tengamos una referencia de logro de éstas, que se expresará en los términos de: </w:t>
      </w:r>
    </w:p>
    <w:p w14:paraId="0E9835FA" w14:textId="77777777" w:rsidR="005B3115" w:rsidRDefault="005B3115" w:rsidP="005B3115">
      <w:pPr>
        <w:jc w:val="both"/>
        <w:rPr>
          <w:rFonts w:ascii="Calibri" w:hAnsi="Calibri" w:cs="Calibri"/>
          <w:sz w:val="22"/>
          <w:szCs w:val="22"/>
        </w:rPr>
      </w:pPr>
    </w:p>
    <w:tbl>
      <w:tblPr>
        <w:tblStyle w:val="Tablaconcuadrcula"/>
        <w:tblW w:w="8755" w:type="dxa"/>
        <w:jc w:val="center"/>
        <w:tblInd w:w="108" w:type="dxa"/>
        <w:tblLook w:val="04A0" w:firstRow="1" w:lastRow="0" w:firstColumn="1" w:lastColumn="0" w:noHBand="0" w:noVBand="1"/>
      </w:tblPr>
      <w:tblGrid>
        <w:gridCol w:w="1730"/>
        <w:gridCol w:w="2064"/>
        <w:gridCol w:w="2551"/>
        <w:gridCol w:w="2410"/>
      </w:tblGrid>
      <w:tr w:rsidR="005B3115" w:rsidRPr="00E903B3" w14:paraId="612176F4" w14:textId="77777777" w:rsidTr="00432A62">
        <w:trPr>
          <w:jc w:val="center"/>
        </w:trPr>
        <w:tc>
          <w:tcPr>
            <w:tcW w:w="1730" w:type="dxa"/>
            <w:shd w:val="clear" w:color="auto" w:fill="FF0000"/>
            <w:vAlign w:val="center"/>
          </w:tcPr>
          <w:p w14:paraId="005B73FE" w14:textId="77777777" w:rsidR="005B3115" w:rsidRPr="00E903B3" w:rsidRDefault="005B3115" w:rsidP="00432A62">
            <w:pPr>
              <w:pStyle w:val="Prrafodelista"/>
              <w:tabs>
                <w:tab w:val="left" w:pos="999"/>
              </w:tabs>
              <w:ind w:left="0"/>
              <w:jc w:val="center"/>
              <w:rPr>
                <w:rFonts w:cs="Arial"/>
                <w:b/>
                <w:color w:val="FFFFFF" w:themeColor="background1"/>
                <w:sz w:val="18"/>
                <w:szCs w:val="18"/>
              </w:rPr>
            </w:pPr>
          </w:p>
          <w:p w14:paraId="4F7D8547" w14:textId="77777777" w:rsidR="005B3115" w:rsidRDefault="005B3115" w:rsidP="00432A62">
            <w:pPr>
              <w:pStyle w:val="Prrafodelista"/>
              <w:tabs>
                <w:tab w:val="left" w:pos="999"/>
              </w:tabs>
              <w:ind w:left="0"/>
              <w:jc w:val="center"/>
              <w:rPr>
                <w:rFonts w:cs="Arial"/>
                <w:b/>
                <w:color w:val="FFFFFF" w:themeColor="background1"/>
                <w:sz w:val="18"/>
                <w:szCs w:val="18"/>
              </w:rPr>
            </w:pPr>
            <w:r w:rsidRPr="00E903B3">
              <w:rPr>
                <w:rFonts w:cs="Arial"/>
                <w:b/>
                <w:color w:val="FFFFFF" w:themeColor="background1"/>
                <w:sz w:val="18"/>
                <w:szCs w:val="18"/>
              </w:rPr>
              <w:t>DEBE MEJORAR</w:t>
            </w:r>
            <w:r>
              <w:rPr>
                <w:rFonts w:cs="Arial"/>
                <w:b/>
                <w:color w:val="FFFFFF" w:themeColor="background1"/>
                <w:sz w:val="18"/>
                <w:szCs w:val="18"/>
              </w:rPr>
              <w:t>/ EN PROCESO</w:t>
            </w:r>
          </w:p>
          <w:p w14:paraId="1D6EE2DE" w14:textId="77777777" w:rsidR="005B3115" w:rsidRPr="00E903B3" w:rsidRDefault="005B3115" w:rsidP="00432A62">
            <w:pPr>
              <w:pStyle w:val="Prrafodelista"/>
              <w:tabs>
                <w:tab w:val="left" w:pos="999"/>
              </w:tabs>
              <w:ind w:left="0"/>
              <w:jc w:val="center"/>
              <w:rPr>
                <w:rFonts w:cs="Arial"/>
                <w:b/>
                <w:color w:val="FFFFFF" w:themeColor="background1"/>
                <w:sz w:val="18"/>
                <w:szCs w:val="18"/>
              </w:rPr>
            </w:pPr>
            <w:r>
              <w:rPr>
                <w:rFonts w:cs="Arial"/>
                <w:b/>
                <w:color w:val="FFFFFF" w:themeColor="background1"/>
                <w:sz w:val="18"/>
                <w:szCs w:val="18"/>
              </w:rPr>
              <w:t>0 - 1</w:t>
            </w:r>
          </w:p>
          <w:p w14:paraId="420219FE" w14:textId="77777777" w:rsidR="005B3115" w:rsidRPr="00E903B3" w:rsidRDefault="005B3115" w:rsidP="00432A62">
            <w:pPr>
              <w:pStyle w:val="Prrafodelista"/>
              <w:tabs>
                <w:tab w:val="left" w:pos="999"/>
              </w:tabs>
              <w:ind w:left="0"/>
              <w:jc w:val="center"/>
              <w:rPr>
                <w:rFonts w:cs="Arial"/>
                <w:b/>
                <w:color w:val="FFFFFF" w:themeColor="background1"/>
                <w:sz w:val="18"/>
                <w:szCs w:val="18"/>
              </w:rPr>
            </w:pPr>
          </w:p>
        </w:tc>
        <w:tc>
          <w:tcPr>
            <w:tcW w:w="2064" w:type="dxa"/>
            <w:shd w:val="clear" w:color="auto" w:fill="FFC000"/>
            <w:vAlign w:val="center"/>
          </w:tcPr>
          <w:p w14:paraId="65ABF9B7" w14:textId="77777777" w:rsidR="005B3115" w:rsidRDefault="005B3115" w:rsidP="00432A62">
            <w:pPr>
              <w:pStyle w:val="Prrafodelista"/>
              <w:tabs>
                <w:tab w:val="left" w:pos="999"/>
              </w:tabs>
              <w:ind w:left="0"/>
              <w:jc w:val="center"/>
              <w:rPr>
                <w:rFonts w:cs="Arial"/>
                <w:b/>
                <w:color w:val="000000" w:themeColor="text1"/>
                <w:sz w:val="18"/>
                <w:szCs w:val="18"/>
              </w:rPr>
            </w:pPr>
            <w:r w:rsidRPr="00CD45C0">
              <w:rPr>
                <w:rFonts w:cs="Arial"/>
                <w:b/>
                <w:color w:val="000000" w:themeColor="text1"/>
                <w:sz w:val="18"/>
                <w:szCs w:val="18"/>
              </w:rPr>
              <w:t>ACEPTABLE</w:t>
            </w:r>
          </w:p>
          <w:p w14:paraId="1197D686" w14:textId="77777777" w:rsidR="005B3115" w:rsidRPr="00E903B3" w:rsidRDefault="005B3115" w:rsidP="00432A62">
            <w:pPr>
              <w:pStyle w:val="Prrafodelista"/>
              <w:tabs>
                <w:tab w:val="left" w:pos="999"/>
              </w:tabs>
              <w:ind w:left="0"/>
              <w:jc w:val="center"/>
              <w:rPr>
                <w:rFonts w:cs="Arial"/>
                <w:b/>
                <w:color w:val="FFFFFF" w:themeColor="background1"/>
                <w:sz w:val="18"/>
                <w:szCs w:val="18"/>
              </w:rPr>
            </w:pPr>
            <w:r>
              <w:rPr>
                <w:rFonts w:cs="Arial"/>
                <w:b/>
                <w:color w:val="000000" w:themeColor="text1"/>
                <w:sz w:val="18"/>
                <w:szCs w:val="18"/>
              </w:rPr>
              <w:t>2</w:t>
            </w:r>
          </w:p>
        </w:tc>
        <w:tc>
          <w:tcPr>
            <w:tcW w:w="2551" w:type="dxa"/>
            <w:shd w:val="clear" w:color="auto" w:fill="FFC000"/>
            <w:vAlign w:val="center"/>
          </w:tcPr>
          <w:p w14:paraId="090D7B85" w14:textId="77777777" w:rsidR="005B3115" w:rsidRDefault="005B3115" w:rsidP="00432A62">
            <w:pPr>
              <w:pStyle w:val="Prrafodelista"/>
              <w:tabs>
                <w:tab w:val="left" w:pos="999"/>
              </w:tabs>
              <w:ind w:left="0"/>
              <w:jc w:val="center"/>
              <w:rPr>
                <w:rFonts w:cs="Arial"/>
                <w:b/>
                <w:color w:val="000000" w:themeColor="text1"/>
                <w:sz w:val="18"/>
                <w:szCs w:val="18"/>
              </w:rPr>
            </w:pPr>
            <w:r w:rsidRPr="00117F6F">
              <w:rPr>
                <w:rFonts w:cs="Arial"/>
                <w:b/>
                <w:color w:val="000000" w:themeColor="text1"/>
                <w:sz w:val="18"/>
                <w:szCs w:val="18"/>
              </w:rPr>
              <w:t>BUENO</w:t>
            </w:r>
          </w:p>
          <w:p w14:paraId="65485091" w14:textId="77777777" w:rsidR="005B3115" w:rsidRPr="00117F6F" w:rsidRDefault="005B3115" w:rsidP="00432A62">
            <w:pPr>
              <w:pStyle w:val="Prrafodelista"/>
              <w:tabs>
                <w:tab w:val="left" w:pos="999"/>
              </w:tabs>
              <w:ind w:left="0"/>
              <w:jc w:val="center"/>
              <w:rPr>
                <w:rFonts w:cs="Arial"/>
                <w:b/>
                <w:color w:val="000000" w:themeColor="text1"/>
                <w:sz w:val="18"/>
                <w:szCs w:val="18"/>
              </w:rPr>
            </w:pPr>
            <w:r>
              <w:rPr>
                <w:rFonts w:cs="Arial"/>
                <w:b/>
                <w:color w:val="000000" w:themeColor="text1"/>
                <w:sz w:val="18"/>
                <w:szCs w:val="18"/>
              </w:rPr>
              <w:t>3 - 4</w:t>
            </w:r>
          </w:p>
        </w:tc>
        <w:tc>
          <w:tcPr>
            <w:tcW w:w="2410" w:type="dxa"/>
            <w:shd w:val="clear" w:color="auto" w:fill="00B050"/>
            <w:vAlign w:val="center"/>
          </w:tcPr>
          <w:p w14:paraId="2247ADCF" w14:textId="77777777" w:rsidR="005B3115" w:rsidRDefault="005B3115" w:rsidP="00432A62">
            <w:pPr>
              <w:pStyle w:val="Prrafodelista"/>
              <w:tabs>
                <w:tab w:val="left" w:pos="999"/>
              </w:tabs>
              <w:ind w:left="111" w:hanging="111"/>
              <w:jc w:val="center"/>
              <w:rPr>
                <w:rFonts w:cs="Arial"/>
                <w:b/>
                <w:color w:val="000000" w:themeColor="text1"/>
                <w:sz w:val="18"/>
                <w:szCs w:val="18"/>
              </w:rPr>
            </w:pPr>
            <w:r w:rsidRPr="00117F6F">
              <w:rPr>
                <w:rFonts w:cs="Arial"/>
                <w:b/>
                <w:color w:val="000000" w:themeColor="text1"/>
                <w:sz w:val="18"/>
                <w:szCs w:val="18"/>
              </w:rPr>
              <w:t>MUY BUENO</w:t>
            </w:r>
          </w:p>
          <w:p w14:paraId="32E39D97" w14:textId="77777777" w:rsidR="005B3115" w:rsidRPr="00117F6F" w:rsidRDefault="005B3115" w:rsidP="00432A62">
            <w:pPr>
              <w:pStyle w:val="Prrafodelista"/>
              <w:tabs>
                <w:tab w:val="left" w:pos="999"/>
              </w:tabs>
              <w:ind w:left="111" w:hanging="111"/>
              <w:jc w:val="center"/>
              <w:rPr>
                <w:rFonts w:cs="Arial"/>
                <w:b/>
                <w:color w:val="000000" w:themeColor="text1"/>
                <w:sz w:val="18"/>
                <w:szCs w:val="18"/>
              </w:rPr>
            </w:pPr>
            <w:r>
              <w:rPr>
                <w:rFonts w:cs="Arial"/>
                <w:b/>
                <w:color w:val="000000" w:themeColor="text1"/>
                <w:sz w:val="18"/>
                <w:szCs w:val="18"/>
              </w:rPr>
              <w:t>5</w:t>
            </w:r>
          </w:p>
        </w:tc>
      </w:tr>
    </w:tbl>
    <w:p w14:paraId="5BDD6B52" w14:textId="77777777" w:rsidR="005B3115" w:rsidRDefault="005B3115"/>
    <w:p w14:paraId="7A6E734C" w14:textId="77777777" w:rsidR="000E7C2F" w:rsidRDefault="000E7C2F"/>
    <w:p w14:paraId="7A4A3227" w14:textId="77777777" w:rsidR="000E7C2F" w:rsidRDefault="000E7C2F"/>
    <w:p w14:paraId="0B72F2A4" w14:textId="77777777" w:rsidR="000E7C2F" w:rsidRDefault="000E7C2F"/>
    <w:p w14:paraId="53D3236B" w14:textId="77777777" w:rsidR="000E7C2F" w:rsidRDefault="000E7C2F"/>
    <w:p w14:paraId="72E7A95C" w14:textId="77777777" w:rsidR="000E7C2F" w:rsidRDefault="000E7C2F"/>
    <w:p w14:paraId="3C5917C6" w14:textId="77777777" w:rsidR="000E7C2F" w:rsidRDefault="000E7C2F"/>
    <w:p w14:paraId="16C7DF97" w14:textId="77777777" w:rsidR="000E7C2F" w:rsidRPr="000E7C2F" w:rsidRDefault="000E7C2F" w:rsidP="000E7C2F">
      <w:pPr>
        <w:jc w:val="both"/>
        <w:rPr>
          <w:rFonts w:ascii="Calibri" w:hAnsi="Calibri" w:cs="Calibri"/>
          <w:b/>
          <w:lang w:val="es-ES"/>
        </w:rPr>
      </w:pPr>
      <w:r w:rsidRPr="000E7C2F">
        <w:rPr>
          <w:rFonts w:ascii="Calibri" w:hAnsi="Calibri" w:cs="Calibri"/>
          <w:b/>
          <w:lang w:val="es-ES"/>
        </w:rPr>
        <w:lastRenderedPageBreak/>
        <w:t>ANEXO I :  Ejemplificación del cálculo de la calificación de un alumno.</w:t>
      </w:r>
    </w:p>
    <w:p w14:paraId="0CD96AAB" w14:textId="77777777" w:rsidR="000E7C2F" w:rsidRPr="000E7C2F" w:rsidRDefault="000E7C2F" w:rsidP="000E7C2F">
      <w:pPr>
        <w:jc w:val="both"/>
        <w:rPr>
          <w:rFonts w:ascii="Calibri" w:hAnsi="Calibri" w:cs="Calibri"/>
          <w:b/>
          <w:sz w:val="22"/>
          <w:szCs w:val="22"/>
          <w:lang w:val="es-ES"/>
        </w:rPr>
      </w:pPr>
    </w:p>
    <w:p w14:paraId="0BDDC830" w14:textId="77777777" w:rsidR="000E7C2F" w:rsidRPr="000E7C2F" w:rsidRDefault="000E7C2F" w:rsidP="000E7C2F">
      <w:pPr>
        <w:jc w:val="both"/>
      </w:pPr>
      <w:r w:rsidRPr="000E7C2F">
        <w:t>Supongamos que un alumno, al final del  primer trimestre, ha obtenido los siguientes niveles de logro en cada estándar de aprendizaje que se desarrolló en dicho trimestre:</w:t>
      </w:r>
    </w:p>
    <w:p w14:paraId="56559767" w14:textId="77777777" w:rsidR="000E7C2F" w:rsidRPr="000E7C2F" w:rsidRDefault="000E7C2F" w:rsidP="000E7C2F">
      <w:pPr>
        <w:jc w:val="both"/>
      </w:pPr>
    </w:p>
    <w:tbl>
      <w:tblPr>
        <w:tblStyle w:val="Tablaconcuadrcula1"/>
        <w:tblW w:w="8720" w:type="dxa"/>
        <w:jc w:val="center"/>
        <w:tblLook w:val="04A0" w:firstRow="1" w:lastRow="0" w:firstColumn="1" w:lastColumn="0" w:noHBand="0" w:noVBand="1"/>
      </w:tblPr>
      <w:tblGrid>
        <w:gridCol w:w="1627"/>
        <w:gridCol w:w="1742"/>
        <w:gridCol w:w="1900"/>
        <w:gridCol w:w="1892"/>
        <w:gridCol w:w="1559"/>
      </w:tblGrid>
      <w:tr w:rsidR="000E7C2F" w:rsidRPr="000E7C2F" w14:paraId="199700B9" w14:textId="77777777" w:rsidTr="00482ABB">
        <w:trPr>
          <w:jc w:val="center"/>
        </w:trPr>
        <w:tc>
          <w:tcPr>
            <w:tcW w:w="1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9E2C93" w14:textId="77777777" w:rsidR="000E7C2F" w:rsidRPr="000E7C2F" w:rsidRDefault="000E7C2F" w:rsidP="000E7C2F">
            <w:pPr>
              <w:jc w:val="center"/>
              <w:rPr>
                <w:b/>
              </w:rPr>
            </w:pPr>
            <w:r w:rsidRPr="000E7C2F">
              <w:rPr>
                <w:b/>
              </w:rPr>
              <w:t>Tipo de aprendizaje</w:t>
            </w:r>
          </w:p>
        </w:tc>
        <w:tc>
          <w:tcPr>
            <w:tcW w:w="17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20DB4B" w14:textId="77777777" w:rsidR="000E7C2F" w:rsidRPr="000E7C2F" w:rsidRDefault="000E7C2F" w:rsidP="000E7C2F">
            <w:pPr>
              <w:jc w:val="center"/>
              <w:rPr>
                <w:b/>
              </w:rPr>
            </w:pPr>
            <w:r w:rsidRPr="000E7C2F">
              <w:rPr>
                <w:b/>
              </w:rPr>
              <w:t>Estándares de aprendizaje</w:t>
            </w:r>
          </w:p>
        </w:tc>
        <w:tc>
          <w:tcPr>
            <w:tcW w:w="1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89A88F" w14:textId="77777777" w:rsidR="000E7C2F" w:rsidRPr="000E7C2F" w:rsidRDefault="000E7C2F" w:rsidP="000E7C2F">
            <w:pPr>
              <w:jc w:val="center"/>
              <w:rPr>
                <w:b/>
              </w:rPr>
            </w:pPr>
            <w:r w:rsidRPr="000E7C2F">
              <w:rPr>
                <w:b/>
              </w:rPr>
              <w:t>Peso  del estándar de aprendizaje</w:t>
            </w:r>
          </w:p>
        </w:tc>
        <w:tc>
          <w:tcPr>
            <w:tcW w:w="18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144766" w14:textId="77777777" w:rsidR="000E7C2F" w:rsidRPr="000E7C2F" w:rsidRDefault="000E7C2F" w:rsidP="000E7C2F">
            <w:pPr>
              <w:jc w:val="center"/>
              <w:rPr>
                <w:b/>
              </w:rPr>
            </w:pPr>
            <w:r w:rsidRPr="000E7C2F">
              <w:rPr>
                <w:b/>
              </w:rPr>
              <w:t>Niveles de logro obtenidos por el alumno</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03D889" w14:textId="77777777" w:rsidR="000E7C2F" w:rsidRPr="000E7C2F" w:rsidRDefault="000E7C2F" w:rsidP="000E7C2F">
            <w:pPr>
              <w:jc w:val="center"/>
              <w:rPr>
                <w:b/>
              </w:rPr>
            </w:pPr>
            <w:r w:rsidRPr="000E7C2F">
              <w:rPr>
                <w:b/>
              </w:rPr>
              <w:t>Niveles de logro normalizados</w:t>
            </w:r>
          </w:p>
        </w:tc>
      </w:tr>
      <w:tr w:rsidR="000E7C2F" w:rsidRPr="000E7C2F" w14:paraId="12B8D91C" w14:textId="77777777" w:rsidTr="00482ABB">
        <w:trPr>
          <w:jc w:val="center"/>
        </w:trPr>
        <w:tc>
          <w:tcPr>
            <w:tcW w:w="1627" w:type="dxa"/>
            <w:vMerge w:val="restart"/>
            <w:tcBorders>
              <w:top w:val="single" w:sz="4" w:space="0" w:color="auto"/>
              <w:left w:val="single" w:sz="4" w:space="0" w:color="auto"/>
              <w:bottom w:val="single" w:sz="4" w:space="0" w:color="auto"/>
              <w:right w:val="single" w:sz="4" w:space="0" w:color="auto"/>
            </w:tcBorders>
            <w:vAlign w:val="center"/>
            <w:hideMark/>
          </w:tcPr>
          <w:p w14:paraId="510383D6" w14:textId="77777777" w:rsidR="000E7C2F" w:rsidRPr="000E7C2F" w:rsidRDefault="000E7C2F" w:rsidP="000E7C2F">
            <w:pPr>
              <w:jc w:val="center"/>
              <w:rPr>
                <w:b/>
              </w:rPr>
            </w:pPr>
            <w:r w:rsidRPr="000E7C2F">
              <w:rPr>
                <w:b/>
              </w:rPr>
              <w:t>BÁSICOS</w:t>
            </w:r>
          </w:p>
        </w:tc>
        <w:tc>
          <w:tcPr>
            <w:tcW w:w="1742" w:type="dxa"/>
            <w:tcBorders>
              <w:top w:val="single" w:sz="4" w:space="0" w:color="auto"/>
              <w:left w:val="single" w:sz="4" w:space="0" w:color="auto"/>
              <w:bottom w:val="single" w:sz="4" w:space="0" w:color="auto"/>
              <w:right w:val="single" w:sz="4" w:space="0" w:color="auto"/>
            </w:tcBorders>
            <w:hideMark/>
          </w:tcPr>
          <w:p w14:paraId="0EE57F4A" w14:textId="77777777" w:rsidR="000E7C2F" w:rsidRPr="000E7C2F" w:rsidRDefault="000E7C2F" w:rsidP="000E7C2F">
            <w:pPr>
              <w:jc w:val="center"/>
              <w:rPr>
                <w:b/>
                <w:color w:val="0070C0"/>
              </w:rPr>
            </w:pPr>
            <w:r w:rsidRPr="000E7C2F">
              <w:rPr>
                <w:b/>
              </w:rPr>
              <w:t>Estándar 1</w:t>
            </w:r>
          </w:p>
        </w:tc>
        <w:tc>
          <w:tcPr>
            <w:tcW w:w="1900" w:type="dxa"/>
            <w:tcBorders>
              <w:top w:val="single" w:sz="4" w:space="0" w:color="auto"/>
              <w:left w:val="single" w:sz="4" w:space="0" w:color="auto"/>
              <w:bottom w:val="single" w:sz="4" w:space="0" w:color="auto"/>
              <w:right w:val="single" w:sz="4" w:space="0" w:color="auto"/>
            </w:tcBorders>
            <w:vAlign w:val="center"/>
            <w:hideMark/>
          </w:tcPr>
          <w:p w14:paraId="1550E57E" w14:textId="77777777" w:rsidR="000E7C2F" w:rsidRPr="000E7C2F" w:rsidRDefault="000E7C2F" w:rsidP="000E7C2F">
            <w:pPr>
              <w:jc w:val="center"/>
              <w:rPr>
                <w:b/>
              </w:rPr>
            </w:pPr>
            <w:r w:rsidRPr="000E7C2F">
              <w:rPr>
                <w:b/>
              </w:rPr>
              <w:t>1</w:t>
            </w:r>
          </w:p>
        </w:tc>
        <w:tc>
          <w:tcPr>
            <w:tcW w:w="1892" w:type="dxa"/>
            <w:tcBorders>
              <w:top w:val="single" w:sz="4" w:space="0" w:color="auto"/>
              <w:left w:val="single" w:sz="4" w:space="0" w:color="auto"/>
              <w:bottom w:val="single" w:sz="4" w:space="0" w:color="auto"/>
              <w:right w:val="single" w:sz="4" w:space="0" w:color="auto"/>
            </w:tcBorders>
            <w:vAlign w:val="center"/>
            <w:hideMark/>
          </w:tcPr>
          <w:p w14:paraId="5B80E1AC" w14:textId="77777777" w:rsidR="000E7C2F" w:rsidRPr="000E7C2F" w:rsidRDefault="000E7C2F" w:rsidP="000E7C2F">
            <w:pPr>
              <w:jc w:val="center"/>
              <w:rPr>
                <w:b/>
                <w:color w:val="0070C0"/>
              </w:rPr>
            </w:pPr>
            <w:r w:rsidRPr="000E7C2F">
              <w:rPr>
                <w:b/>
                <w:color w:val="0070C0"/>
              </w:rPr>
              <w:t>4</w:t>
            </w:r>
          </w:p>
        </w:tc>
        <w:tc>
          <w:tcPr>
            <w:tcW w:w="1559" w:type="dxa"/>
            <w:tcBorders>
              <w:top w:val="single" w:sz="4" w:space="0" w:color="auto"/>
              <w:left w:val="single" w:sz="4" w:space="0" w:color="auto"/>
              <w:bottom w:val="single" w:sz="4" w:space="0" w:color="auto"/>
              <w:right w:val="single" w:sz="4" w:space="0" w:color="auto"/>
            </w:tcBorders>
            <w:hideMark/>
          </w:tcPr>
          <w:p w14:paraId="7A5E6796" w14:textId="77777777" w:rsidR="000E7C2F" w:rsidRPr="000E7C2F" w:rsidRDefault="000E7C2F" w:rsidP="000E7C2F">
            <w:pPr>
              <w:jc w:val="center"/>
              <w:rPr>
                <w:b/>
                <w:color w:val="00B050"/>
              </w:rPr>
            </w:pPr>
            <w:r w:rsidRPr="000E7C2F">
              <w:rPr>
                <w:b/>
                <w:color w:val="00B050"/>
              </w:rPr>
              <w:t>3</w:t>
            </w:r>
          </w:p>
        </w:tc>
      </w:tr>
      <w:tr w:rsidR="000E7C2F" w:rsidRPr="000E7C2F" w14:paraId="6AC43F95"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6DC523"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0630B1E0" w14:textId="77777777" w:rsidR="000E7C2F" w:rsidRPr="000E7C2F" w:rsidRDefault="000E7C2F" w:rsidP="000E7C2F">
            <w:pPr>
              <w:jc w:val="center"/>
              <w:rPr>
                <w:sz w:val="22"/>
                <w:szCs w:val="22"/>
              </w:rPr>
            </w:pPr>
            <w:r w:rsidRPr="000E7C2F">
              <w:rPr>
                <w:b/>
              </w:rPr>
              <w:t>Estándar 2</w:t>
            </w:r>
          </w:p>
        </w:tc>
        <w:tc>
          <w:tcPr>
            <w:tcW w:w="1900" w:type="dxa"/>
            <w:tcBorders>
              <w:top w:val="single" w:sz="4" w:space="0" w:color="auto"/>
              <w:left w:val="single" w:sz="4" w:space="0" w:color="auto"/>
              <w:bottom w:val="single" w:sz="4" w:space="0" w:color="auto"/>
              <w:right w:val="single" w:sz="4" w:space="0" w:color="auto"/>
            </w:tcBorders>
            <w:vAlign w:val="center"/>
            <w:hideMark/>
          </w:tcPr>
          <w:p w14:paraId="15248FE8" w14:textId="77777777" w:rsidR="000E7C2F" w:rsidRPr="000E7C2F" w:rsidRDefault="000E7C2F" w:rsidP="000E7C2F">
            <w:pPr>
              <w:jc w:val="center"/>
              <w:rPr>
                <w:b/>
              </w:rPr>
            </w:pPr>
            <w:r w:rsidRPr="000E7C2F">
              <w:rPr>
                <w:b/>
              </w:rPr>
              <w:t>1</w:t>
            </w:r>
          </w:p>
        </w:tc>
        <w:tc>
          <w:tcPr>
            <w:tcW w:w="1892" w:type="dxa"/>
            <w:tcBorders>
              <w:top w:val="single" w:sz="4" w:space="0" w:color="auto"/>
              <w:left w:val="single" w:sz="4" w:space="0" w:color="auto"/>
              <w:bottom w:val="single" w:sz="4" w:space="0" w:color="auto"/>
              <w:right w:val="single" w:sz="4" w:space="0" w:color="auto"/>
            </w:tcBorders>
            <w:vAlign w:val="center"/>
            <w:hideMark/>
          </w:tcPr>
          <w:p w14:paraId="36B16D3B" w14:textId="77777777" w:rsidR="000E7C2F" w:rsidRPr="000E7C2F" w:rsidRDefault="000E7C2F" w:rsidP="000E7C2F">
            <w:pPr>
              <w:jc w:val="center"/>
              <w:rPr>
                <w:b/>
                <w:color w:val="0070C0"/>
              </w:rPr>
            </w:pPr>
            <w:r w:rsidRPr="000E7C2F">
              <w:rPr>
                <w:b/>
                <w:color w:val="0070C0"/>
              </w:rPr>
              <w:t>4</w:t>
            </w:r>
          </w:p>
        </w:tc>
        <w:tc>
          <w:tcPr>
            <w:tcW w:w="1559" w:type="dxa"/>
            <w:tcBorders>
              <w:top w:val="single" w:sz="4" w:space="0" w:color="auto"/>
              <w:left w:val="single" w:sz="4" w:space="0" w:color="auto"/>
              <w:bottom w:val="single" w:sz="4" w:space="0" w:color="auto"/>
              <w:right w:val="single" w:sz="4" w:space="0" w:color="auto"/>
            </w:tcBorders>
            <w:hideMark/>
          </w:tcPr>
          <w:p w14:paraId="4FB841E1" w14:textId="77777777" w:rsidR="000E7C2F" w:rsidRPr="000E7C2F" w:rsidRDefault="000E7C2F" w:rsidP="000E7C2F">
            <w:pPr>
              <w:jc w:val="center"/>
              <w:rPr>
                <w:b/>
                <w:color w:val="00B050"/>
              </w:rPr>
            </w:pPr>
            <w:r w:rsidRPr="000E7C2F">
              <w:rPr>
                <w:b/>
                <w:color w:val="00B050"/>
              </w:rPr>
              <w:t>3</w:t>
            </w:r>
          </w:p>
        </w:tc>
      </w:tr>
      <w:tr w:rsidR="000E7C2F" w:rsidRPr="000E7C2F" w14:paraId="4BC1EF00"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C83816"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6D1C4854" w14:textId="77777777" w:rsidR="000E7C2F" w:rsidRPr="000E7C2F" w:rsidRDefault="000E7C2F" w:rsidP="000E7C2F">
            <w:pPr>
              <w:jc w:val="center"/>
              <w:rPr>
                <w:sz w:val="22"/>
                <w:szCs w:val="22"/>
              </w:rPr>
            </w:pPr>
            <w:r w:rsidRPr="000E7C2F">
              <w:rPr>
                <w:b/>
              </w:rPr>
              <w:t>Estándar 3</w:t>
            </w:r>
          </w:p>
        </w:tc>
        <w:tc>
          <w:tcPr>
            <w:tcW w:w="1900" w:type="dxa"/>
            <w:tcBorders>
              <w:top w:val="single" w:sz="4" w:space="0" w:color="auto"/>
              <w:left w:val="single" w:sz="4" w:space="0" w:color="auto"/>
              <w:bottom w:val="single" w:sz="4" w:space="0" w:color="auto"/>
              <w:right w:val="single" w:sz="4" w:space="0" w:color="auto"/>
            </w:tcBorders>
            <w:vAlign w:val="center"/>
            <w:hideMark/>
          </w:tcPr>
          <w:p w14:paraId="710FC263" w14:textId="77777777" w:rsidR="000E7C2F" w:rsidRPr="000E7C2F" w:rsidRDefault="000E7C2F" w:rsidP="000E7C2F">
            <w:pPr>
              <w:jc w:val="center"/>
              <w:rPr>
                <w:b/>
              </w:rPr>
            </w:pPr>
            <w:r w:rsidRPr="000E7C2F">
              <w:rPr>
                <w:b/>
              </w:rPr>
              <w:t>2</w:t>
            </w:r>
          </w:p>
        </w:tc>
        <w:tc>
          <w:tcPr>
            <w:tcW w:w="1892" w:type="dxa"/>
            <w:tcBorders>
              <w:top w:val="single" w:sz="4" w:space="0" w:color="auto"/>
              <w:left w:val="single" w:sz="4" w:space="0" w:color="auto"/>
              <w:bottom w:val="single" w:sz="4" w:space="0" w:color="auto"/>
              <w:right w:val="single" w:sz="4" w:space="0" w:color="auto"/>
            </w:tcBorders>
            <w:vAlign w:val="center"/>
            <w:hideMark/>
          </w:tcPr>
          <w:p w14:paraId="04A1442F" w14:textId="77777777" w:rsidR="000E7C2F" w:rsidRPr="000E7C2F" w:rsidRDefault="000E7C2F" w:rsidP="000E7C2F">
            <w:pPr>
              <w:jc w:val="center"/>
              <w:rPr>
                <w:b/>
                <w:color w:val="0070C0"/>
              </w:rPr>
            </w:pPr>
            <w:r w:rsidRPr="000E7C2F">
              <w:rPr>
                <w:b/>
                <w:color w:val="0070C0"/>
              </w:rPr>
              <w:t>3</w:t>
            </w:r>
          </w:p>
        </w:tc>
        <w:tc>
          <w:tcPr>
            <w:tcW w:w="1559" w:type="dxa"/>
            <w:tcBorders>
              <w:top w:val="single" w:sz="4" w:space="0" w:color="auto"/>
              <w:left w:val="single" w:sz="4" w:space="0" w:color="auto"/>
              <w:bottom w:val="single" w:sz="4" w:space="0" w:color="auto"/>
              <w:right w:val="single" w:sz="4" w:space="0" w:color="auto"/>
            </w:tcBorders>
            <w:hideMark/>
          </w:tcPr>
          <w:p w14:paraId="39C16810" w14:textId="77777777" w:rsidR="000E7C2F" w:rsidRPr="000E7C2F" w:rsidRDefault="000E7C2F" w:rsidP="000E7C2F">
            <w:pPr>
              <w:jc w:val="center"/>
              <w:rPr>
                <w:b/>
                <w:color w:val="00B050"/>
              </w:rPr>
            </w:pPr>
            <w:r w:rsidRPr="000E7C2F">
              <w:rPr>
                <w:b/>
                <w:color w:val="00B050"/>
              </w:rPr>
              <w:t>2</w:t>
            </w:r>
          </w:p>
        </w:tc>
      </w:tr>
      <w:tr w:rsidR="000E7C2F" w:rsidRPr="000E7C2F" w14:paraId="181584D1"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FAADE3"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50EDC3F7" w14:textId="77777777" w:rsidR="000E7C2F" w:rsidRPr="000E7C2F" w:rsidRDefault="000E7C2F" w:rsidP="000E7C2F">
            <w:pPr>
              <w:jc w:val="center"/>
              <w:rPr>
                <w:sz w:val="22"/>
                <w:szCs w:val="22"/>
              </w:rPr>
            </w:pPr>
            <w:r w:rsidRPr="000E7C2F">
              <w:rPr>
                <w:b/>
              </w:rPr>
              <w:t>Estándar 4</w:t>
            </w:r>
          </w:p>
        </w:tc>
        <w:tc>
          <w:tcPr>
            <w:tcW w:w="1900" w:type="dxa"/>
            <w:tcBorders>
              <w:top w:val="single" w:sz="4" w:space="0" w:color="auto"/>
              <w:left w:val="single" w:sz="4" w:space="0" w:color="auto"/>
              <w:bottom w:val="single" w:sz="4" w:space="0" w:color="auto"/>
              <w:right w:val="single" w:sz="4" w:space="0" w:color="auto"/>
            </w:tcBorders>
            <w:vAlign w:val="center"/>
            <w:hideMark/>
          </w:tcPr>
          <w:p w14:paraId="4C83C727" w14:textId="77777777" w:rsidR="000E7C2F" w:rsidRPr="000E7C2F" w:rsidRDefault="000E7C2F" w:rsidP="000E7C2F">
            <w:pPr>
              <w:jc w:val="center"/>
              <w:rPr>
                <w:b/>
              </w:rPr>
            </w:pPr>
            <w:r w:rsidRPr="000E7C2F">
              <w:rPr>
                <w:b/>
              </w:rPr>
              <w:t>2</w:t>
            </w:r>
          </w:p>
        </w:tc>
        <w:tc>
          <w:tcPr>
            <w:tcW w:w="1892" w:type="dxa"/>
            <w:tcBorders>
              <w:top w:val="single" w:sz="4" w:space="0" w:color="auto"/>
              <w:left w:val="single" w:sz="4" w:space="0" w:color="auto"/>
              <w:bottom w:val="single" w:sz="4" w:space="0" w:color="auto"/>
              <w:right w:val="single" w:sz="4" w:space="0" w:color="auto"/>
            </w:tcBorders>
            <w:vAlign w:val="center"/>
            <w:hideMark/>
          </w:tcPr>
          <w:p w14:paraId="767BF6A3" w14:textId="77777777" w:rsidR="000E7C2F" w:rsidRPr="000E7C2F" w:rsidRDefault="000E7C2F" w:rsidP="000E7C2F">
            <w:pPr>
              <w:jc w:val="center"/>
              <w:rPr>
                <w:b/>
                <w:color w:val="0070C0"/>
              </w:rPr>
            </w:pPr>
            <w:r w:rsidRPr="000E7C2F">
              <w:rPr>
                <w:b/>
                <w:color w:val="0070C0"/>
              </w:rPr>
              <w:t>4</w:t>
            </w:r>
          </w:p>
        </w:tc>
        <w:tc>
          <w:tcPr>
            <w:tcW w:w="1559" w:type="dxa"/>
            <w:tcBorders>
              <w:top w:val="single" w:sz="4" w:space="0" w:color="auto"/>
              <w:left w:val="single" w:sz="4" w:space="0" w:color="auto"/>
              <w:bottom w:val="single" w:sz="4" w:space="0" w:color="auto"/>
              <w:right w:val="single" w:sz="4" w:space="0" w:color="auto"/>
            </w:tcBorders>
            <w:hideMark/>
          </w:tcPr>
          <w:p w14:paraId="0CB1B265" w14:textId="77777777" w:rsidR="000E7C2F" w:rsidRPr="000E7C2F" w:rsidRDefault="000E7C2F" w:rsidP="000E7C2F">
            <w:pPr>
              <w:jc w:val="center"/>
              <w:rPr>
                <w:b/>
                <w:color w:val="00B050"/>
              </w:rPr>
            </w:pPr>
            <w:r w:rsidRPr="000E7C2F">
              <w:rPr>
                <w:b/>
                <w:color w:val="00B050"/>
              </w:rPr>
              <w:t>3</w:t>
            </w:r>
          </w:p>
        </w:tc>
      </w:tr>
      <w:tr w:rsidR="000E7C2F" w:rsidRPr="000E7C2F" w14:paraId="276D0606"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94FB47"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4A7892DB" w14:textId="77777777" w:rsidR="000E7C2F" w:rsidRPr="000E7C2F" w:rsidRDefault="000E7C2F" w:rsidP="000E7C2F">
            <w:pPr>
              <w:jc w:val="center"/>
              <w:rPr>
                <w:sz w:val="22"/>
                <w:szCs w:val="22"/>
              </w:rPr>
            </w:pPr>
            <w:r w:rsidRPr="000E7C2F">
              <w:rPr>
                <w:b/>
              </w:rPr>
              <w:t>Estándar 5</w:t>
            </w:r>
          </w:p>
        </w:tc>
        <w:tc>
          <w:tcPr>
            <w:tcW w:w="1900" w:type="dxa"/>
            <w:tcBorders>
              <w:top w:val="single" w:sz="4" w:space="0" w:color="auto"/>
              <w:left w:val="single" w:sz="4" w:space="0" w:color="auto"/>
              <w:bottom w:val="single" w:sz="4" w:space="0" w:color="auto"/>
              <w:right w:val="single" w:sz="4" w:space="0" w:color="auto"/>
            </w:tcBorders>
            <w:vAlign w:val="center"/>
            <w:hideMark/>
          </w:tcPr>
          <w:p w14:paraId="0EA6C104" w14:textId="77777777" w:rsidR="000E7C2F" w:rsidRPr="000E7C2F" w:rsidRDefault="000E7C2F" w:rsidP="000E7C2F">
            <w:pPr>
              <w:jc w:val="center"/>
              <w:rPr>
                <w:b/>
              </w:rPr>
            </w:pPr>
            <w:r w:rsidRPr="000E7C2F">
              <w:rPr>
                <w:b/>
              </w:rPr>
              <w:t>2</w:t>
            </w:r>
          </w:p>
        </w:tc>
        <w:tc>
          <w:tcPr>
            <w:tcW w:w="1892" w:type="dxa"/>
            <w:tcBorders>
              <w:top w:val="single" w:sz="4" w:space="0" w:color="auto"/>
              <w:left w:val="single" w:sz="4" w:space="0" w:color="auto"/>
              <w:bottom w:val="single" w:sz="4" w:space="0" w:color="auto"/>
              <w:right w:val="single" w:sz="4" w:space="0" w:color="auto"/>
            </w:tcBorders>
            <w:vAlign w:val="center"/>
            <w:hideMark/>
          </w:tcPr>
          <w:p w14:paraId="2E4767AF" w14:textId="77777777" w:rsidR="000E7C2F" w:rsidRPr="000E7C2F" w:rsidRDefault="000E7C2F" w:rsidP="000E7C2F">
            <w:pPr>
              <w:jc w:val="center"/>
              <w:rPr>
                <w:b/>
                <w:color w:val="0070C0"/>
              </w:rPr>
            </w:pPr>
            <w:r w:rsidRPr="000E7C2F">
              <w:rPr>
                <w:b/>
                <w:color w:val="0070C0"/>
              </w:rPr>
              <w:t>2</w:t>
            </w:r>
          </w:p>
        </w:tc>
        <w:tc>
          <w:tcPr>
            <w:tcW w:w="1559" w:type="dxa"/>
            <w:tcBorders>
              <w:top w:val="single" w:sz="4" w:space="0" w:color="auto"/>
              <w:left w:val="single" w:sz="4" w:space="0" w:color="auto"/>
              <w:bottom w:val="single" w:sz="4" w:space="0" w:color="auto"/>
              <w:right w:val="single" w:sz="4" w:space="0" w:color="auto"/>
            </w:tcBorders>
            <w:hideMark/>
          </w:tcPr>
          <w:p w14:paraId="04616504" w14:textId="77777777" w:rsidR="000E7C2F" w:rsidRPr="000E7C2F" w:rsidRDefault="000E7C2F" w:rsidP="000E7C2F">
            <w:pPr>
              <w:jc w:val="center"/>
              <w:rPr>
                <w:b/>
                <w:color w:val="00B050"/>
              </w:rPr>
            </w:pPr>
            <w:r w:rsidRPr="000E7C2F">
              <w:rPr>
                <w:b/>
                <w:color w:val="00B050"/>
              </w:rPr>
              <w:t>1</w:t>
            </w:r>
          </w:p>
        </w:tc>
      </w:tr>
      <w:tr w:rsidR="000E7C2F" w:rsidRPr="000E7C2F" w14:paraId="15304552"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8CD72B"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62274EEE" w14:textId="77777777" w:rsidR="000E7C2F" w:rsidRPr="000E7C2F" w:rsidRDefault="000E7C2F" w:rsidP="000E7C2F">
            <w:pPr>
              <w:jc w:val="center"/>
              <w:rPr>
                <w:sz w:val="22"/>
                <w:szCs w:val="22"/>
              </w:rPr>
            </w:pPr>
            <w:r w:rsidRPr="000E7C2F">
              <w:rPr>
                <w:b/>
              </w:rPr>
              <w:t>Estándar 6</w:t>
            </w:r>
          </w:p>
        </w:tc>
        <w:tc>
          <w:tcPr>
            <w:tcW w:w="1900" w:type="dxa"/>
            <w:tcBorders>
              <w:top w:val="single" w:sz="4" w:space="0" w:color="auto"/>
              <w:left w:val="single" w:sz="4" w:space="0" w:color="auto"/>
              <w:bottom w:val="single" w:sz="4" w:space="0" w:color="auto"/>
              <w:right w:val="single" w:sz="4" w:space="0" w:color="auto"/>
            </w:tcBorders>
            <w:vAlign w:val="center"/>
            <w:hideMark/>
          </w:tcPr>
          <w:p w14:paraId="190BF726" w14:textId="77777777" w:rsidR="000E7C2F" w:rsidRPr="000E7C2F" w:rsidRDefault="000E7C2F" w:rsidP="000E7C2F">
            <w:pPr>
              <w:jc w:val="center"/>
              <w:rPr>
                <w:b/>
              </w:rPr>
            </w:pPr>
            <w:r w:rsidRPr="000E7C2F">
              <w:rPr>
                <w:b/>
              </w:rPr>
              <w:t>3</w:t>
            </w:r>
          </w:p>
        </w:tc>
        <w:tc>
          <w:tcPr>
            <w:tcW w:w="1892" w:type="dxa"/>
            <w:tcBorders>
              <w:top w:val="single" w:sz="4" w:space="0" w:color="auto"/>
              <w:left w:val="single" w:sz="4" w:space="0" w:color="auto"/>
              <w:bottom w:val="single" w:sz="4" w:space="0" w:color="auto"/>
              <w:right w:val="single" w:sz="4" w:space="0" w:color="auto"/>
            </w:tcBorders>
            <w:vAlign w:val="center"/>
            <w:hideMark/>
          </w:tcPr>
          <w:p w14:paraId="7B153BDA" w14:textId="77777777" w:rsidR="000E7C2F" w:rsidRPr="000E7C2F" w:rsidRDefault="000E7C2F" w:rsidP="000E7C2F">
            <w:pPr>
              <w:jc w:val="center"/>
              <w:rPr>
                <w:b/>
                <w:color w:val="0070C0"/>
              </w:rPr>
            </w:pPr>
            <w:r w:rsidRPr="000E7C2F">
              <w:rPr>
                <w:b/>
                <w:color w:val="0070C0"/>
              </w:rPr>
              <w:t>1</w:t>
            </w:r>
          </w:p>
        </w:tc>
        <w:tc>
          <w:tcPr>
            <w:tcW w:w="1559" w:type="dxa"/>
            <w:tcBorders>
              <w:top w:val="single" w:sz="4" w:space="0" w:color="auto"/>
              <w:left w:val="single" w:sz="4" w:space="0" w:color="auto"/>
              <w:bottom w:val="single" w:sz="4" w:space="0" w:color="auto"/>
              <w:right w:val="single" w:sz="4" w:space="0" w:color="auto"/>
            </w:tcBorders>
            <w:hideMark/>
          </w:tcPr>
          <w:p w14:paraId="78A60C3C" w14:textId="77777777" w:rsidR="000E7C2F" w:rsidRPr="000E7C2F" w:rsidRDefault="000E7C2F" w:rsidP="000E7C2F">
            <w:pPr>
              <w:jc w:val="center"/>
              <w:rPr>
                <w:b/>
                <w:color w:val="00B050"/>
              </w:rPr>
            </w:pPr>
            <w:r w:rsidRPr="000E7C2F">
              <w:rPr>
                <w:b/>
                <w:color w:val="00B050"/>
              </w:rPr>
              <w:t>0</w:t>
            </w:r>
          </w:p>
        </w:tc>
      </w:tr>
      <w:tr w:rsidR="000E7C2F" w:rsidRPr="000E7C2F" w14:paraId="5391F4F8"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E02770"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6D55ECEB" w14:textId="77777777" w:rsidR="000E7C2F" w:rsidRPr="000E7C2F" w:rsidRDefault="000E7C2F" w:rsidP="000E7C2F">
            <w:pPr>
              <w:jc w:val="center"/>
              <w:rPr>
                <w:sz w:val="22"/>
                <w:szCs w:val="22"/>
              </w:rPr>
            </w:pPr>
            <w:r w:rsidRPr="000E7C2F">
              <w:rPr>
                <w:b/>
              </w:rPr>
              <w:t>Estándar 7</w:t>
            </w:r>
          </w:p>
        </w:tc>
        <w:tc>
          <w:tcPr>
            <w:tcW w:w="1900" w:type="dxa"/>
            <w:tcBorders>
              <w:top w:val="single" w:sz="4" w:space="0" w:color="auto"/>
              <w:left w:val="single" w:sz="4" w:space="0" w:color="auto"/>
              <w:bottom w:val="single" w:sz="4" w:space="0" w:color="auto"/>
              <w:right w:val="single" w:sz="4" w:space="0" w:color="auto"/>
            </w:tcBorders>
            <w:vAlign w:val="center"/>
            <w:hideMark/>
          </w:tcPr>
          <w:p w14:paraId="146EEFAE" w14:textId="77777777" w:rsidR="000E7C2F" w:rsidRPr="000E7C2F" w:rsidRDefault="000E7C2F" w:rsidP="000E7C2F">
            <w:pPr>
              <w:jc w:val="center"/>
              <w:rPr>
                <w:b/>
              </w:rPr>
            </w:pPr>
            <w:r w:rsidRPr="000E7C2F">
              <w:rPr>
                <w:b/>
              </w:rPr>
              <w:t>2</w:t>
            </w:r>
          </w:p>
        </w:tc>
        <w:tc>
          <w:tcPr>
            <w:tcW w:w="1892" w:type="dxa"/>
            <w:tcBorders>
              <w:top w:val="single" w:sz="4" w:space="0" w:color="auto"/>
              <w:left w:val="single" w:sz="4" w:space="0" w:color="auto"/>
              <w:bottom w:val="single" w:sz="4" w:space="0" w:color="auto"/>
              <w:right w:val="single" w:sz="4" w:space="0" w:color="auto"/>
            </w:tcBorders>
            <w:vAlign w:val="center"/>
            <w:hideMark/>
          </w:tcPr>
          <w:p w14:paraId="7EEDA6DF" w14:textId="77777777" w:rsidR="000E7C2F" w:rsidRPr="000E7C2F" w:rsidRDefault="000E7C2F" w:rsidP="000E7C2F">
            <w:pPr>
              <w:jc w:val="center"/>
              <w:rPr>
                <w:b/>
                <w:color w:val="0070C0"/>
              </w:rPr>
            </w:pPr>
            <w:r w:rsidRPr="000E7C2F">
              <w:rPr>
                <w:b/>
                <w:color w:val="0070C0"/>
              </w:rPr>
              <w:t>4</w:t>
            </w:r>
          </w:p>
        </w:tc>
        <w:tc>
          <w:tcPr>
            <w:tcW w:w="1559" w:type="dxa"/>
            <w:tcBorders>
              <w:top w:val="single" w:sz="4" w:space="0" w:color="auto"/>
              <w:left w:val="single" w:sz="4" w:space="0" w:color="auto"/>
              <w:bottom w:val="single" w:sz="4" w:space="0" w:color="auto"/>
              <w:right w:val="single" w:sz="4" w:space="0" w:color="auto"/>
            </w:tcBorders>
            <w:hideMark/>
          </w:tcPr>
          <w:p w14:paraId="7E27AFD8" w14:textId="77777777" w:rsidR="000E7C2F" w:rsidRPr="000E7C2F" w:rsidRDefault="000E7C2F" w:rsidP="000E7C2F">
            <w:pPr>
              <w:jc w:val="center"/>
              <w:rPr>
                <w:b/>
                <w:color w:val="00B050"/>
              </w:rPr>
            </w:pPr>
            <w:r w:rsidRPr="000E7C2F">
              <w:rPr>
                <w:b/>
                <w:color w:val="00B050"/>
              </w:rPr>
              <w:t>3</w:t>
            </w:r>
          </w:p>
        </w:tc>
      </w:tr>
      <w:tr w:rsidR="000E7C2F" w:rsidRPr="000E7C2F" w14:paraId="77C2ABBE"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6F9F8B"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52485BFB" w14:textId="77777777" w:rsidR="000E7C2F" w:rsidRPr="000E7C2F" w:rsidRDefault="000E7C2F" w:rsidP="000E7C2F">
            <w:pPr>
              <w:jc w:val="center"/>
              <w:rPr>
                <w:sz w:val="22"/>
                <w:szCs w:val="22"/>
              </w:rPr>
            </w:pPr>
            <w:r w:rsidRPr="000E7C2F">
              <w:rPr>
                <w:b/>
              </w:rPr>
              <w:t>Estándar 8</w:t>
            </w:r>
          </w:p>
        </w:tc>
        <w:tc>
          <w:tcPr>
            <w:tcW w:w="1900" w:type="dxa"/>
            <w:tcBorders>
              <w:top w:val="single" w:sz="4" w:space="0" w:color="auto"/>
              <w:left w:val="single" w:sz="4" w:space="0" w:color="auto"/>
              <w:bottom w:val="single" w:sz="4" w:space="0" w:color="auto"/>
              <w:right w:val="single" w:sz="4" w:space="0" w:color="auto"/>
            </w:tcBorders>
            <w:vAlign w:val="center"/>
            <w:hideMark/>
          </w:tcPr>
          <w:p w14:paraId="3CFD86C6" w14:textId="77777777" w:rsidR="000E7C2F" w:rsidRPr="000E7C2F" w:rsidRDefault="000E7C2F" w:rsidP="000E7C2F">
            <w:pPr>
              <w:jc w:val="center"/>
              <w:rPr>
                <w:b/>
              </w:rPr>
            </w:pPr>
            <w:r w:rsidRPr="000E7C2F">
              <w:rPr>
                <w:b/>
              </w:rPr>
              <w:t>2</w:t>
            </w:r>
          </w:p>
        </w:tc>
        <w:tc>
          <w:tcPr>
            <w:tcW w:w="1892" w:type="dxa"/>
            <w:tcBorders>
              <w:top w:val="single" w:sz="4" w:space="0" w:color="auto"/>
              <w:left w:val="single" w:sz="4" w:space="0" w:color="auto"/>
              <w:bottom w:val="single" w:sz="4" w:space="0" w:color="auto"/>
              <w:right w:val="single" w:sz="4" w:space="0" w:color="auto"/>
            </w:tcBorders>
            <w:vAlign w:val="center"/>
            <w:hideMark/>
          </w:tcPr>
          <w:p w14:paraId="6528248E" w14:textId="77777777" w:rsidR="000E7C2F" w:rsidRPr="000E7C2F" w:rsidRDefault="000E7C2F" w:rsidP="000E7C2F">
            <w:pPr>
              <w:jc w:val="center"/>
              <w:rPr>
                <w:b/>
                <w:color w:val="0070C0"/>
              </w:rPr>
            </w:pPr>
            <w:r w:rsidRPr="000E7C2F">
              <w:rPr>
                <w:b/>
                <w:color w:val="0070C0"/>
              </w:rPr>
              <w:t>4</w:t>
            </w:r>
          </w:p>
        </w:tc>
        <w:tc>
          <w:tcPr>
            <w:tcW w:w="1559" w:type="dxa"/>
            <w:tcBorders>
              <w:top w:val="single" w:sz="4" w:space="0" w:color="auto"/>
              <w:left w:val="single" w:sz="4" w:space="0" w:color="auto"/>
              <w:bottom w:val="single" w:sz="4" w:space="0" w:color="auto"/>
              <w:right w:val="single" w:sz="4" w:space="0" w:color="auto"/>
            </w:tcBorders>
            <w:hideMark/>
          </w:tcPr>
          <w:p w14:paraId="500F587E" w14:textId="77777777" w:rsidR="000E7C2F" w:rsidRPr="000E7C2F" w:rsidRDefault="000E7C2F" w:rsidP="000E7C2F">
            <w:pPr>
              <w:jc w:val="center"/>
              <w:rPr>
                <w:b/>
                <w:color w:val="00B050"/>
              </w:rPr>
            </w:pPr>
            <w:r w:rsidRPr="000E7C2F">
              <w:rPr>
                <w:b/>
                <w:color w:val="00B050"/>
              </w:rPr>
              <w:t>3</w:t>
            </w:r>
          </w:p>
        </w:tc>
      </w:tr>
      <w:tr w:rsidR="000E7C2F" w:rsidRPr="000E7C2F" w14:paraId="342C9034" w14:textId="77777777" w:rsidTr="00482ABB">
        <w:trPr>
          <w:jc w:val="center"/>
        </w:trPr>
        <w:tc>
          <w:tcPr>
            <w:tcW w:w="1627" w:type="dxa"/>
            <w:vMerge w:val="restart"/>
            <w:tcBorders>
              <w:top w:val="single" w:sz="4" w:space="0" w:color="auto"/>
              <w:left w:val="single" w:sz="4" w:space="0" w:color="auto"/>
              <w:bottom w:val="single" w:sz="4" w:space="0" w:color="auto"/>
              <w:right w:val="single" w:sz="4" w:space="0" w:color="auto"/>
            </w:tcBorders>
            <w:vAlign w:val="center"/>
            <w:hideMark/>
          </w:tcPr>
          <w:p w14:paraId="02438D4A" w14:textId="77777777" w:rsidR="000E7C2F" w:rsidRPr="000E7C2F" w:rsidRDefault="000E7C2F" w:rsidP="000E7C2F">
            <w:pPr>
              <w:jc w:val="center"/>
              <w:rPr>
                <w:b/>
              </w:rPr>
            </w:pPr>
            <w:r w:rsidRPr="000E7C2F">
              <w:rPr>
                <w:b/>
              </w:rPr>
              <w:t>INTERMEDIOS</w:t>
            </w:r>
          </w:p>
        </w:tc>
        <w:tc>
          <w:tcPr>
            <w:tcW w:w="1742" w:type="dxa"/>
            <w:tcBorders>
              <w:top w:val="single" w:sz="4" w:space="0" w:color="auto"/>
              <w:left w:val="single" w:sz="4" w:space="0" w:color="auto"/>
              <w:bottom w:val="single" w:sz="4" w:space="0" w:color="auto"/>
              <w:right w:val="single" w:sz="4" w:space="0" w:color="auto"/>
            </w:tcBorders>
            <w:hideMark/>
          </w:tcPr>
          <w:p w14:paraId="74900DB2" w14:textId="77777777" w:rsidR="000E7C2F" w:rsidRPr="000E7C2F" w:rsidRDefault="000E7C2F" w:rsidP="000E7C2F">
            <w:pPr>
              <w:jc w:val="center"/>
              <w:rPr>
                <w:sz w:val="22"/>
                <w:szCs w:val="22"/>
              </w:rPr>
            </w:pPr>
            <w:r w:rsidRPr="000E7C2F">
              <w:rPr>
                <w:b/>
              </w:rPr>
              <w:t>Estándar 9</w:t>
            </w:r>
          </w:p>
        </w:tc>
        <w:tc>
          <w:tcPr>
            <w:tcW w:w="1900" w:type="dxa"/>
            <w:tcBorders>
              <w:top w:val="single" w:sz="4" w:space="0" w:color="auto"/>
              <w:left w:val="single" w:sz="4" w:space="0" w:color="auto"/>
              <w:bottom w:val="single" w:sz="4" w:space="0" w:color="auto"/>
              <w:right w:val="single" w:sz="4" w:space="0" w:color="auto"/>
            </w:tcBorders>
            <w:vAlign w:val="center"/>
            <w:hideMark/>
          </w:tcPr>
          <w:p w14:paraId="556A6040" w14:textId="77777777" w:rsidR="000E7C2F" w:rsidRPr="000E7C2F" w:rsidRDefault="000E7C2F" w:rsidP="000E7C2F">
            <w:pPr>
              <w:jc w:val="center"/>
              <w:rPr>
                <w:b/>
              </w:rPr>
            </w:pPr>
            <w:r w:rsidRPr="000E7C2F">
              <w:rPr>
                <w:b/>
              </w:rPr>
              <w:t>2</w:t>
            </w:r>
          </w:p>
        </w:tc>
        <w:tc>
          <w:tcPr>
            <w:tcW w:w="1892" w:type="dxa"/>
            <w:tcBorders>
              <w:top w:val="single" w:sz="4" w:space="0" w:color="auto"/>
              <w:left w:val="single" w:sz="4" w:space="0" w:color="auto"/>
              <w:bottom w:val="single" w:sz="4" w:space="0" w:color="auto"/>
              <w:right w:val="single" w:sz="4" w:space="0" w:color="auto"/>
            </w:tcBorders>
            <w:vAlign w:val="center"/>
            <w:hideMark/>
          </w:tcPr>
          <w:p w14:paraId="6CFB4818" w14:textId="77777777" w:rsidR="000E7C2F" w:rsidRPr="000E7C2F" w:rsidRDefault="000E7C2F" w:rsidP="000E7C2F">
            <w:pPr>
              <w:jc w:val="center"/>
              <w:rPr>
                <w:b/>
                <w:color w:val="0070C0"/>
              </w:rPr>
            </w:pPr>
            <w:r w:rsidRPr="000E7C2F">
              <w:rPr>
                <w:b/>
                <w:color w:val="0070C0"/>
              </w:rPr>
              <w:t>3</w:t>
            </w:r>
          </w:p>
        </w:tc>
        <w:tc>
          <w:tcPr>
            <w:tcW w:w="1559" w:type="dxa"/>
            <w:tcBorders>
              <w:top w:val="single" w:sz="4" w:space="0" w:color="auto"/>
              <w:left w:val="single" w:sz="4" w:space="0" w:color="auto"/>
              <w:bottom w:val="single" w:sz="4" w:space="0" w:color="auto"/>
              <w:right w:val="single" w:sz="4" w:space="0" w:color="auto"/>
            </w:tcBorders>
            <w:hideMark/>
          </w:tcPr>
          <w:p w14:paraId="7F09C08B" w14:textId="77777777" w:rsidR="000E7C2F" w:rsidRPr="000E7C2F" w:rsidRDefault="000E7C2F" w:rsidP="000E7C2F">
            <w:pPr>
              <w:jc w:val="center"/>
              <w:rPr>
                <w:b/>
                <w:color w:val="00B050"/>
              </w:rPr>
            </w:pPr>
            <w:r w:rsidRPr="000E7C2F">
              <w:rPr>
                <w:b/>
                <w:color w:val="00B050"/>
              </w:rPr>
              <w:t>2</w:t>
            </w:r>
          </w:p>
        </w:tc>
      </w:tr>
      <w:tr w:rsidR="000E7C2F" w:rsidRPr="000E7C2F" w14:paraId="5187375D"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A4F089"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4EAC82D9" w14:textId="77777777" w:rsidR="000E7C2F" w:rsidRPr="000E7C2F" w:rsidRDefault="000E7C2F" w:rsidP="000E7C2F">
            <w:pPr>
              <w:jc w:val="center"/>
              <w:rPr>
                <w:sz w:val="22"/>
                <w:szCs w:val="22"/>
              </w:rPr>
            </w:pPr>
            <w:r w:rsidRPr="000E7C2F">
              <w:rPr>
                <w:b/>
              </w:rPr>
              <w:t>Estándar 10</w:t>
            </w:r>
          </w:p>
        </w:tc>
        <w:tc>
          <w:tcPr>
            <w:tcW w:w="1900" w:type="dxa"/>
            <w:tcBorders>
              <w:top w:val="single" w:sz="4" w:space="0" w:color="auto"/>
              <w:left w:val="single" w:sz="4" w:space="0" w:color="auto"/>
              <w:bottom w:val="single" w:sz="4" w:space="0" w:color="auto"/>
              <w:right w:val="single" w:sz="4" w:space="0" w:color="auto"/>
            </w:tcBorders>
            <w:vAlign w:val="center"/>
            <w:hideMark/>
          </w:tcPr>
          <w:p w14:paraId="4B2498D2" w14:textId="77777777" w:rsidR="000E7C2F" w:rsidRPr="000E7C2F" w:rsidRDefault="000E7C2F" w:rsidP="000E7C2F">
            <w:pPr>
              <w:jc w:val="center"/>
              <w:rPr>
                <w:b/>
              </w:rPr>
            </w:pPr>
            <w:r w:rsidRPr="000E7C2F">
              <w:rPr>
                <w:b/>
              </w:rPr>
              <w:t>3</w:t>
            </w:r>
          </w:p>
        </w:tc>
        <w:tc>
          <w:tcPr>
            <w:tcW w:w="1892" w:type="dxa"/>
            <w:tcBorders>
              <w:top w:val="single" w:sz="4" w:space="0" w:color="auto"/>
              <w:left w:val="single" w:sz="4" w:space="0" w:color="auto"/>
              <w:bottom w:val="single" w:sz="4" w:space="0" w:color="auto"/>
              <w:right w:val="single" w:sz="4" w:space="0" w:color="auto"/>
            </w:tcBorders>
            <w:vAlign w:val="center"/>
            <w:hideMark/>
          </w:tcPr>
          <w:p w14:paraId="56078FE6" w14:textId="77777777" w:rsidR="000E7C2F" w:rsidRPr="000E7C2F" w:rsidRDefault="000E7C2F" w:rsidP="000E7C2F">
            <w:pPr>
              <w:jc w:val="center"/>
              <w:rPr>
                <w:b/>
                <w:color w:val="0070C0"/>
              </w:rPr>
            </w:pPr>
            <w:r w:rsidRPr="000E7C2F">
              <w:rPr>
                <w:b/>
                <w:color w:val="0070C0"/>
              </w:rPr>
              <w:t>3</w:t>
            </w:r>
          </w:p>
        </w:tc>
        <w:tc>
          <w:tcPr>
            <w:tcW w:w="1559" w:type="dxa"/>
            <w:tcBorders>
              <w:top w:val="single" w:sz="4" w:space="0" w:color="auto"/>
              <w:left w:val="single" w:sz="4" w:space="0" w:color="auto"/>
              <w:bottom w:val="single" w:sz="4" w:space="0" w:color="auto"/>
              <w:right w:val="single" w:sz="4" w:space="0" w:color="auto"/>
            </w:tcBorders>
            <w:hideMark/>
          </w:tcPr>
          <w:p w14:paraId="7B283BB3" w14:textId="77777777" w:rsidR="000E7C2F" w:rsidRPr="000E7C2F" w:rsidRDefault="000E7C2F" w:rsidP="000E7C2F">
            <w:pPr>
              <w:jc w:val="center"/>
              <w:rPr>
                <w:b/>
                <w:color w:val="00B050"/>
              </w:rPr>
            </w:pPr>
            <w:r w:rsidRPr="000E7C2F">
              <w:rPr>
                <w:b/>
                <w:color w:val="00B050"/>
              </w:rPr>
              <w:t>2</w:t>
            </w:r>
          </w:p>
        </w:tc>
      </w:tr>
      <w:tr w:rsidR="000E7C2F" w:rsidRPr="000E7C2F" w14:paraId="4E8B1F6C"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63D602"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5015E1CB" w14:textId="77777777" w:rsidR="000E7C2F" w:rsidRPr="000E7C2F" w:rsidRDefault="000E7C2F" w:rsidP="000E7C2F">
            <w:pPr>
              <w:jc w:val="center"/>
              <w:rPr>
                <w:sz w:val="22"/>
                <w:szCs w:val="22"/>
              </w:rPr>
            </w:pPr>
            <w:r w:rsidRPr="000E7C2F">
              <w:rPr>
                <w:b/>
              </w:rPr>
              <w:t>Estándar 11</w:t>
            </w:r>
          </w:p>
        </w:tc>
        <w:tc>
          <w:tcPr>
            <w:tcW w:w="1900" w:type="dxa"/>
            <w:tcBorders>
              <w:top w:val="single" w:sz="4" w:space="0" w:color="auto"/>
              <w:left w:val="single" w:sz="4" w:space="0" w:color="auto"/>
              <w:bottom w:val="single" w:sz="4" w:space="0" w:color="auto"/>
              <w:right w:val="single" w:sz="4" w:space="0" w:color="auto"/>
            </w:tcBorders>
            <w:vAlign w:val="center"/>
            <w:hideMark/>
          </w:tcPr>
          <w:p w14:paraId="72840521" w14:textId="77777777" w:rsidR="000E7C2F" w:rsidRPr="000E7C2F" w:rsidRDefault="000E7C2F" w:rsidP="000E7C2F">
            <w:pPr>
              <w:jc w:val="center"/>
              <w:rPr>
                <w:b/>
              </w:rPr>
            </w:pPr>
            <w:r w:rsidRPr="000E7C2F">
              <w:rPr>
                <w:b/>
              </w:rPr>
              <w:t>3</w:t>
            </w:r>
          </w:p>
        </w:tc>
        <w:tc>
          <w:tcPr>
            <w:tcW w:w="1892" w:type="dxa"/>
            <w:tcBorders>
              <w:top w:val="single" w:sz="4" w:space="0" w:color="auto"/>
              <w:left w:val="single" w:sz="4" w:space="0" w:color="auto"/>
              <w:bottom w:val="single" w:sz="4" w:space="0" w:color="auto"/>
              <w:right w:val="single" w:sz="4" w:space="0" w:color="auto"/>
            </w:tcBorders>
            <w:vAlign w:val="center"/>
            <w:hideMark/>
          </w:tcPr>
          <w:p w14:paraId="4DC5C1C4" w14:textId="77777777" w:rsidR="000E7C2F" w:rsidRPr="000E7C2F" w:rsidRDefault="000E7C2F" w:rsidP="000E7C2F">
            <w:pPr>
              <w:jc w:val="center"/>
              <w:rPr>
                <w:b/>
                <w:color w:val="0070C0"/>
              </w:rPr>
            </w:pPr>
            <w:r w:rsidRPr="000E7C2F">
              <w:rPr>
                <w:b/>
                <w:color w:val="0070C0"/>
              </w:rPr>
              <w:t>2</w:t>
            </w:r>
          </w:p>
        </w:tc>
        <w:tc>
          <w:tcPr>
            <w:tcW w:w="1559" w:type="dxa"/>
            <w:tcBorders>
              <w:top w:val="single" w:sz="4" w:space="0" w:color="auto"/>
              <w:left w:val="single" w:sz="4" w:space="0" w:color="auto"/>
              <w:bottom w:val="single" w:sz="4" w:space="0" w:color="auto"/>
              <w:right w:val="single" w:sz="4" w:space="0" w:color="auto"/>
            </w:tcBorders>
            <w:hideMark/>
          </w:tcPr>
          <w:p w14:paraId="36A762EE" w14:textId="77777777" w:rsidR="000E7C2F" w:rsidRPr="000E7C2F" w:rsidRDefault="000E7C2F" w:rsidP="000E7C2F">
            <w:pPr>
              <w:jc w:val="center"/>
              <w:rPr>
                <w:b/>
                <w:color w:val="00B050"/>
              </w:rPr>
            </w:pPr>
            <w:r w:rsidRPr="000E7C2F">
              <w:rPr>
                <w:b/>
                <w:color w:val="00B050"/>
              </w:rPr>
              <w:t>1</w:t>
            </w:r>
          </w:p>
        </w:tc>
      </w:tr>
      <w:tr w:rsidR="000E7C2F" w:rsidRPr="000E7C2F" w14:paraId="303FD015"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415FB4"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490164B1" w14:textId="77777777" w:rsidR="000E7C2F" w:rsidRPr="000E7C2F" w:rsidRDefault="000E7C2F" w:rsidP="000E7C2F">
            <w:pPr>
              <w:jc w:val="center"/>
              <w:rPr>
                <w:sz w:val="22"/>
                <w:szCs w:val="22"/>
              </w:rPr>
            </w:pPr>
            <w:r w:rsidRPr="000E7C2F">
              <w:rPr>
                <w:b/>
              </w:rPr>
              <w:t>Estándar 12</w:t>
            </w:r>
          </w:p>
        </w:tc>
        <w:tc>
          <w:tcPr>
            <w:tcW w:w="1900" w:type="dxa"/>
            <w:tcBorders>
              <w:top w:val="single" w:sz="4" w:space="0" w:color="auto"/>
              <w:left w:val="single" w:sz="4" w:space="0" w:color="auto"/>
              <w:bottom w:val="single" w:sz="4" w:space="0" w:color="auto"/>
              <w:right w:val="single" w:sz="4" w:space="0" w:color="auto"/>
            </w:tcBorders>
            <w:vAlign w:val="center"/>
            <w:hideMark/>
          </w:tcPr>
          <w:p w14:paraId="5580AE25" w14:textId="77777777" w:rsidR="000E7C2F" w:rsidRPr="000E7C2F" w:rsidRDefault="000E7C2F" w:rsidP="000E7C2F">
            <w:pPr>
              <w:jc w:val="center"/>
              <w:rPr>
                <w:b/>
              </w:rPr>
            </w:pPr>
            <w:r w:rsidRPr="000E7C2F">
              <w:rPr>
                <w:b/>
              </w:rPr>
              <w:t>3</w:t>
            </w:r>
          </w:p>
        </w:tc>
        <w:tc>
          <w:tcPr>
            <w:tcW w:w="1892" w:type="dxa"/>
            <w:tcBorders>
              <w:top w:val="single" w:sz="4" w:space="0" w:color="auto"/>
              <w:left w:val="single" w:sz="4" w:space="0" w:color="auto"/>
              <w:bottom w:val="single" w:sz="4" w:space="0" w:color="auto"/>
              <w:right w:val="single" w:sz="4" w:space="0" w:color="auto"/>
            </w:tcBorders>
            <w:vAlign w:val="center"/>
            <w:hideMark/>
          </w:tcPr>
          <w:p w14:paraId="44A5A519" w14:textId="77777777" w:rsidR="000E7C2F" w:rsidRPr="000E7C2F" w:rsidRDefault="000E7C2F" w:rsidP="000E7C2F">
            <w:pPr>
              <w:jc w:val="center"/>
              <w:rPr>
                <w:b/>
                <w:color w:val="0070C0"/>
              </w:rPr>
            </w:pPr>
            <w:r w:rsidRPr="000E7C2F">
              <w:rPr>
                <w:b/>
                <w:color w:val="0070C0"/>
              </w:rPr>
              <w:t>3</w:t>
            </w:r>
          </w:p>
        </w:tc>
        <w:tc>
          <w:tcPr>
            <w:tcW w:w="1559" w:type="dxa"/>
            <w:tcBorders>
              <w:top w:val="single" w:sz="4" w:space="0" w:color="auto"/>
              <w:left w:val="single" w:sz="4" w:space="0" w:color="auto"/>
              <w:bottom w:val="single" w:sz="4" w:space="0" w:color="auto"/>
              <w:right w:val="single" w:sz="4" w:space="0" w:color="auto"/>
            </w:tcBorders>
            <w:hideMark/>
          </w:tcPr>
          <w:p w14:paraId="21BB79E3" w14:textId="77777777" w:rsidR="000E7C2F" w:rsidRPr="000E7C2F" w:rsidRDefault="000E7C2F" w:rsidP="000E7C2F">
            <w:pPr>
              <w:jc w:val="center"/>
              <w:rPr>
                <w:b/>
                <w:color w:val="00B050"/>
              </w:rPr>
            </w:pPr>
            <w:r w:rsidRPr="000E7C2F">
              <w:rPr>
                <w:b/>
                <w:color w:val="00B050"/>
              </w:rPr>
              <w:t>2</w:t>
            </w:r>
          </w:p>
        </w:tc>
      </w:tr>
      <w:tr w:rsidR="000E7C2F" w:rsidRPr="000E7C2F" w14:paraId="6F0E2E1C"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1E8E92"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7E5041D0" w14:textId="77777777" w:rsidR="000E7C2F" w:rsidRPr="000E7C2F" w:rsidRDefault="000E7C2F" w:rsidP="000E7C2F">
            <w:pPr>
              <w:jc w:val="center"/>
              <w:rPr>
                <w:sz w:val="22"/>
                <w:szCs w:val="22"/>
              </w:rPr>
            </w:pPr>
            <w:r w:rsidRPr="000E7C2F">
              <w:rPr>
                <w:b/>
              </w:rPr>
              <w:t>Estándar 13</w:t>
            </w:r>
          </w:p>
        </w:tc>
        <w:tc>
          <w:tcPr>
            <w:tcW w:w="1900" w:type="dxa"/>
            <w:tcBorders>
              <w:top w:val="single" w:sz="4" w:space="0" w:color="auto"/>
              <w:left w:val="single" w:sz="4" w:space="0" w:color="auto"/>
              <w:bottom w:val="single" w:sz="4" w:space="0" w:color="auto"/>
              <w:right w:val="single" w:sz="4" w:space="0" w:color="auto"/>
            </w:tcBorders>
            <w:vAlign w:val="center"/>
            <w:hideMark/>
          </w:tcPr>
          <w:p w14:paraId="67F9D367" w14:textId="77777777" w:rsidR="000E7C2F" w:rsidRPr="000E7C2F" w:rsidRDefault="000E7C2F" w:rsidP="000E7C2F">
            <w:pPr>
              <w:jc w:val="center"/>
              <w:rPr>
                <w:b/>
              </w:rPr>
            </w:pPr>
            <w:r w:rsidRPr="000E7C2F">
              <w:rPr>
                <w:b/>
              </w:rPr>
              <w:t>3</w:t>
            </w:r>
          </w:p>
        </w:tc>
        <w:tc>
          <w:tcPr>
            <w:tcW w:w="1892" w:type="dxa"/>
            <w:tcBorders>
              <w:top w:val="single" w:sz="4" w:space="0" w:color="auto"/>
              <w:left w:val="single" w:sz="4" w:space="0" w:color="auto"/>
              <w:bottom w:val="single" w:sz="4" w:space="0" w:color="auto"/>
              <w:right w:val="single" w:sz="4" w:space="0" w:color="auto"/>
            </w:tcBorders>
            <w:vAlign w:val="center"/>
            <w:hideMark/>
          </w:tcPr>
          <w:p w14:paraId="76300695" w14:textId="77777777" w:rsidR="000E7C2F" w:rsidRPr="000E7C2F" w:rsidRDefault="000E7C2F" w:rsidP="000E7C2F">
            <w:pPr>
              <w:jc w:val="center"/>
              <w:rPr>
                <w:b/>
                <w:color w:val="0070C0"/>
              </w:rPr>
            </w:pPr>
            <w:r w:rsidRPr="000E7C2F">
              <w:rPr>
                <w:b/>
                <w:color w:val="0070C0"/>
              </w:rPr>
              <w:t>4</w:t>
            </w:r>
          </w:p>
        </w:tc>
        <w:tc>
          <w:tcPr>
            <w:tcW w:w="1559" w:type="dxa"/>
            <w:tcBorders>
              <w:top w:val="single" w:sz="4" w:space="0" w:color="auto"/>
              <w:left w:val="single" w:sz="4" w:space="0" w:color="auto"/>
              <w:bottom w:val="single" w:sz="4" w:space="0" w:color="auto"/>
              <w:right w:val="single" w:sz="4" w:space="0" w:color="auto"/>
            </w:tcBorders>
            <w:hideMark/>
          </w:tcPr>
          <w:p w14:paraId="2B797F1C" w14:textId="77777777" w:rsidR="000E7C2F" w:rsidRPr="000E7C2F" w:rsidRDefault="000E7C2F" w:rsidP="000E7C2F">
            <w:pPr>
              <w:jc w:val="center"/>
              <w:rPr>
                <w:b/>
                <w:color w:val="00B050"/>
              </w:rPr>
            </w:pPr>
            <w:r w:rsidRPr="000E7C2F">
              <w:rPr>
                <w:b/>
                <w:color w:val="00B050"/>
              </w:rPr>
              <w:t>3</w:t>
            </w:r>
          </w:p>
        </w:tc>
      </w:tr>
      <w:tr w:rsidR="000E7C2F" w:rsidRPr="000E7C2F" w14:paraId="7FCC9033" w14:textId="77777777" w:rsidTr="00482ABB">
        <w:trPr>
          <w:jc w:val="center"/>
        </w:trPr>
        <w:tc>
          <w:tcPr>
            <w:tcW w:w="1627" w:type="dxa"/>
            <w:vMerge w:val="restart"/>
            <w:tcBorders>
              <w:top w:val="single" w:sz="4" w:space="0" w:color="auto"/>
              <w:left w:val="single" w:sz="4" w:space="0" w:color="auto"/>
              <w:bottom w:val="single" w:sz="4" w:space="0" w:color="auto"/>
              <w:right w:val="single" w:sz="4" w:space="0" w:color="auto"/>
            </w:tcBorders>
            <w:vAlign w:val="center"/>
            <w:hideMark/>
          </w:tcPr>
          <w:p w14:paraId="0E0BD951" w14:textId="77777777" w:rsidR="000E7C2F" w:rsidRPr="000E7C2F" w:rsidRDefault="000E7C2F" w:rsidP="000E7C2F">
            <w:pPr>
              <w:jc w:val="center"/>
              <w:rPr>
                <w:b/>
              </w:rPr>
            </w:pPr>
            <w:r w:rsidRPr="000E7C2F">
              <w:rPr>
                <w:b/>
              </w:rPr>
              <w:t>AVANZADOS</w:t>
            </w:r>
          </w:p>
        </w:tc>
        <w:tc>
          <w:tcPr>
            <w:tcW w:w="1742" w:type="dxa"/>
            <w:tcBorders>
              <w:top w:val="single" w:sz="4" w:space="0" w:color="auto"/>
              <w:left w:val="single" w:sz="4" w:space="0" w:color="auto"/>
              <w:bottom w:val="single" w:sz="4" w:space="0" w:color="auto"/>
              <w:right w:val="single" w:sz="4" w:space="0" w:color="auto"/>
            </w:tcBorders>
            <w:hideMark/>
          </w:tcPr>
          <w:p w14:paraId="779CB6B0" w14:textId="77777777" w:rsidR="000E7C2F" w:rsidRPr="000E7C2F" w:rsidRDefault="000E7C2F" w:rsidP="000E7C2F">
            <w:pPr>
              <w:jc w:val="center"/>
              <w:rPr>
                <w:sz w:val="22"/>
                <w:szCs w:val="22"/>
              </w:rPr>
            </w:pPr>
            <w:r w:rsidRPr="000E7C2F">
              <w:rPr>
                <w:b/>
              </w:rPr>
              <w:t>Estándar 14</w:t>
            </w:r>
          </w:p>
        </w:tc>
        <w:tc>
          <w:tcPr>
            <w:tcW w:w="1900" w:type="dxa"/>
            <w:tcBorders>
              <w:top w:val="single" w:sz="4" w:space="0" w:color="auto"/>
              <w:left w:val="single" w:sz="4" w:space="0" w:color="auto"/>
              <w:bottom w:val="single" w:sz="4" w:space="0" w:color="auto"/>
              <w:right w:val="single" w:sz="4" w:space="0" w:color="auto"/>
            </w:tcBorders>
            <w:vAlign w:val="center"/>
            <w:hideMark/>
          </w:tcPr>
          <w:p w14:paraId="52197BF7" w14:textId="77777777" w:rsidR="000E7C2F" w:rsidRPr="000E7C2F" w:rsidRDefault="000E7C2F" w:rsidP="000E7C2F">
            <w:pPr>
              <w:jc w:val="center"/>
              <w:rPr>
                <w:b/>
              </w:rPr>
            </w:pPr>
            <w:r w:rsidRPr="000E7C2F">
              <w:rPr>
                <w:b/>
              </w:rPr>
              <w:t>1</w:t>
            </w:r>
          </w:p>
        </w:tc>
        <w:tc>
          <w:tcPr>
            <w:tcW w:w="1892" w:type="dxa"/>
            <w:tcBorders>
              <w:top w:val="single" w:sz="4" w:space="0" w:color="auto"/>
              <w:left w:val="single" w:sz="4" w:space="0" w:color="auto"/>
              <w:bottom w:val="single" w:sz="4" w:space="0" w:color="auto"/>
              <w:right w:val="single" w:sz="4" w:space="0" w:color="auto"/>
            </w:tcBorders>
            <w:vAlign w:val="center"/>
            <w:hideMark/>
          </w:tcPr>
          <w:p w14:paraId="36B5A0A7" w14:textId="77777777" w:rsidR="000E7C2F" w:rsidRPr="000E7C2F" w:rsidRDefault="000E7C2F" w:rsidP="000E7C2F">
            <w:pPr>
              <w:jc w:val="center"/>
              <w:rPr>
                <w:b/>
                <w:color w:val="0070C0"/>
              </w:rPr>
            </w:pPr>
            <w:r w:rsidRPr="000E7C2F">
              <w:rPr>
                <w:b/>
                <w:color w:val="0070C0"/>
              </w:rPr>
              <w:t>4</w:t>
            </w:r>
          </w:p>
        </w:tc>
        <w:tc>
          <w:tcPr>
            <w:tcW w:w="1559" w:type="dxa"/>
            <w:tcBorders>
              <w:top w:val="single" w:sz="4" w:space="0" w:color="auto"/>
              <w:left w:val="single" w:sz="4" w:space="0" w:color="auto"/>
              <w:bottom w:val="single" w:sz="4" w:space="0" w:color="auto"/>
              <w:right w:val="single" w:sz="4" w:space="0" w:color="auto"/>
            </w:tcBorders>
            <w:hideMark/>
          </w:tcPr>
          <w:p w14:paraId="70E0EC0D" w14:textId="77777777" w:rsidR="000E7C2F" w:rsidRPr="000E7C2F" w:rsidRDefault="000E7C2F" w:rsidP="000E7C2F">
            <w:pPr>
              <w:jc w:val="center"/>
              <w:rPr>
                <w:b/>
                <w:color w:val="00B050"/>
              </w:rPr>
            </w:pPr>
            <w:r w:rsidRPr="000E7C2F">
              <w:rPr>
                <w:b/>
                <w:color w:val="00B050"/>
              </w:rPr>
              <w:t>3</w:t>
            </w:r>
          </w:p>
        </w:tc>
      </w:tr>
      <w:tr w:rsidR="000E7C2F" w:rsidRPr="000E7C2F" w14:paraId="61DD0856"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C500DE"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51BF26BB" w14:textId="77777777" w:rsidR="000E7C2F" w:rsidRPr="000E7C2F" w:rsidRDefault="000E7C2F" w:rsidP="000E7C2F">
            <w:pPr>
              <w:jc w:val="center"/>
              <w:rPr>
                <w:sz w:val="22"/>
                <w:szCs w:val="22"/>
              </w:rPr>
            </w:pPr>
            <w:r w:rsidRPr="000E7C2F">
              <w:rPr>
                <w:b/>
              </w:rPr>
              <w:t>Estándar 15</w:t>
            </w:r>
          </w:p>
        </w:tc>
        <w:tc>
          <w:tcPr>
            <w:tcW w:w="1900" w:type="dxa"/>
            <w:tcBorders>
              <w:top w:val="single" w:sz="4" w:space="0" w:color="auto"/>
              <w:left w:val="single" w:sz="4" w:space="0" w:color="auto"/>
              <w:bottom w:val="single" w:sz="4" w:space="0" w:color="auto"/>
              <w:right w:val="single" w:sz="4" w:space="0" w:color="auto"/>
            </w:tcBorders>
            <w:vAlign w:val="center"/>
            <w:hideMark/>
          </w:tcPr>
          <w:p w14:paraId="2D3DA4DC" w14:textId="77777777" w:rsidR="000E7C2F" w:rsidRPr="000E7C2F" w:rsidRDefault="000E7C2F" w:rsidP="000E7C2F">
            <w:pPr>
              <w:jc w:val="center"/>
              <w:rPr>
                <w:b/>
              </w:rPr>
            </w:pPr>
            <w:r w:rsidRPr="000E7C2F">
              <w:rPr>
                <w:b/>
              </w:rPr>
              <w:t>3</w:t>
            </w:r>
          </w:p>
        </w:tc>
        <w:tc>
          <w:tcPr>
            <w:tcW w:w="1892" w:type="dxa"/>
            <w:tcBorders>
              <w:top w:val="single" w:sz="4" w:space="0" w:color="auto"/>
              <w:left w:val="single" w:sz="4" w:space="0" w:color="auto"/>
              <w:bottom w:val="single" w:sz="4" w:space="0" w:color="auto"/>
              <w:right w:val="single" w:sz="4" w:space="0" w:color="auto"/>
            </w:tcBorders>
            <w:vAlign w:val="center"/>
            <w:hideMark/>
          </w:tcPr>
          <w:p w14:paraId="30EA45FE" w14:textId="77777777" w:rsidR="000E7C2F" w:rsidRPr="000E7C2F" w:rsidRDefault="000E7C2F" w:rsidP="000E7C2F">
            <w:pPr>
              <w:jc w:val="center"/>
              <w:rPr>
                <w:b/>
                <w:color w:val="0070C0"/>
              </w:rPr>
            </w:pPr>
            <w:r w:rsidRPr="000E7C2F">
              <w:rPr>
                <w:b/>
                <w:color w:val="0070C0"/>
              </w:rPr>
              <w:t>1</w:t>
            </w:r>
          </w:p>
        </w:tc>
        <w:tc>
          <w:tcPr>
            <w:tcW w:w="1559" w:type="dxa"/>
            <w:tcBorders>
              <w:top w:val="single" w:sz="4" w:space="0" w:color="auto"/>
              <w:left w:val="single" w:sz="4" w:space="0" w:color="auto"/>
              <w:bottom w:val="single" w:sz="4" w:space="0" w:color="auto"/>
              <w:right w:val="single" w:sz="4" w:space="0" w:color="auto"/>
            </w:tcBorders>
            <w:hideMark/>
          </w:tcPr>
          <w:p w14:paraId="268BF259" w14:textId="77777777" w:rsidR="000E7C2F" w:rsidRPr="000E7C2F" w:rsidRDefault="000E7C2F" w:rsidP="000E7C2F">
            <w:pPr>
              <w:jc w:val="center"/>
              <w:rPr>
                <w:b/>
                <w:color w:val="00B050"/>
              </w:rPr>
            </w:pPr>
            <w:r w:rsidRPr="000E7C2F">
              <w:rPr>
                <w:b/>
                <w:color w:val="00B050"/>
              </w:rPr>
              <w:t>0</w:t>
            </w:r>
          </w:p>
        </w:tc>
      </w:tr>
      <w:tr w:rsidR="000E7C2F" w:rsidRPr="000E7C2F" w14:paraId="1E8C01FD"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95BA6F"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461E2371" w14:textId="77777777" w:rsidR="000E7C2F" w:rsidRPr="000E7C2F" w:rsidRDefault="000E7C2F" w:rsidP="000E7C2F">
            <w:pPr>
              <w:jc w:val="center"/>
              <w:rPr>
                <w:sz w:val="22"/>
                <w:szCs w:val="22"/>
              </w:rPr>
            </w:pPr>
            <w:r w:rsidRPr="000E7C2F">
              <w:rPr>
                <w:b/>
              </w:rPr>
              <w:t>Estándar 16</w:t>
            </w:r>
          </w:p>
        </w:tc>
        <w:tc>
          <w:tcPr>
            <w:tcW w:w="1900" w:type="dxa"/>
            <w:tcBorders>
              <w:top w:val="single" w:sz="4" w:space="0" w:color="auto"/>
              <w:left w:val="single" w:sz="4" w:space="0" w:color="auto"/>
              <w:bottom w:val="single" w:sz="4" w:space="0" w:color="auto"/>
              <w:right w:val="single" w:sz="4" w:space="0" w:color="auto"/>
            </w:tcBorders>
            <w:vAlign w:val="center"/>
            <w:hideMark/>
          </w:tcPr>
          <w:p w14:paraId="0D428E48" w14:textId="77777777" w:rsidR="000E7C2F" w:rsidRPr="000E7C2F" w:rsidRDefault="000E7C2F" w:rsidP="000E7C2F">
            <w:pPr>
              <w:jc w:val="center"/>
              <w:rPr>
                <w:b/>
              </w:rPr>
            </w:pPr>
            <w:r w:rsidRPr="000E7C2F">
              <w:rPr>
                <w:b/>
              </w:rPr>
              <w:t>2</w:t>
            </w:r>
          </w:p>
        </w:tc>
        <w:tc>
          <w:tcPr>
            <w:tcW w:w="1892" w:type="dxa"/>
            <w:tcBorders>
              <w:top w:val="single" w:sz="4" w:space="0" w:color="auto"/>
              <w:left w:val="single" w:sz="4" w:space="0" w:color="auto"/>
              <w:bottom w:val="single" w:sz="4" w:space="0" w:color="auto"/>
              <w:right w:val="single" w:sz="4" w:space="0" w:color="auto"/>
            </w:tcBorders>
            <w:vAlign w:val="center"/>
            <w:hideMark/>
          </w:tcPr>
          <w:p w14:paraId="4D5906AB" w14:textId="77777777" w:rsidR="000E7C2F" w:rsidRPr="000E7C2F" w:rsidRDefault="000E7C2F" w:rsidP="000E7C2F">
            <w:pPr>
              <w:jc w:val="center"/>
              <w:rPr>
                <w:b/>
                <w:color w:val="0070C0"/>
              </w:rPr>
            </w:pPr>
            <w:r w:rsidRPr="000E7C2F">
              <w:rPr>
                <w:b/>
                <w:color w:val="0070C0"/>
              </w:rPr>
              <w:t>1</w:t>
            </w:r>
          </w:p>
        </w:tc>
        <w:tc>
          <w:tcPr>
            <w:tcW w:w="1559" w:type="dxa"/>
            <w:tcBorders>
              <w:top w:val="single" w:sz="4" w:space="0" w:color="auto"/>
              <w:left w:val="single" w:sz="4" w:space="0" w:color="auto"/>
              <w:bottom w:val="single" w:sz="4" w:space="0" w:color="auto"/>
              <w:right w:val="single" w:sz="4" w:space="0" w:color="auto"/>
            </w:tcBorders>
            <w:hideMark/>
          </w:tcPr>
          <w:p w14:paraId="6B61B5E5" w14:textId="77777777" w:rsidR="000E7C2F" w:rsidRPr="000E7C2F" w:rsidRDefault="000E7C2F" w:rsidP="000E7C2F">
            <w:pPr>
              <w:jc w:val="center"/>
              <w:rPr>
                <w:b/>
                <w:color w:val="00B050"/>
              </w:rPr>
            </w:pPr>
            <w:r w:rsidRPr="000E7C2F">
              <w:rPr>
                <w:b/>
                <w:color w:val="00B050"/>
              </w:rPr>
              <w:t>0</w:t>
            </w:r>
          </w:p>
        </w:tc>
      </w:tr>
      <w:tr w:rsidR="000E7C2F" w:rsidRPr="000E7C2F" w14:paraId="3CC9E26E" w14:textId="77777777" w:rsidTr="00482AB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34FAAF" w14:textId="77777777" w:rsidR="000E7C2F" w:rsidRPr="000E7C2F" w:rsidRDefault="000E7C2F" w:rsidP="000E7C2F">
            <w:pPr>
              <w:rPr>
                <w:b/>
              </w:rPr>
            </w:pPr>
          </w:p>
        </w:tc>
        <w:tc>
          <w:tcPr>
            <w:tcW w:w="1742" w:type="dxa"/>
            <w:tcBorders>
              <w:top w:val="single" w:sz="4" w:space="0" w:color="auto"/>
              <w:left w:val="single" w:sz="4" w:space="0" w:color="auto"/>
              <w:bottom w:val="single" w:sz="4" w:space="0" w:color="auto"/>
              <w:right w:val="single" w:sz="4" w:space="0" w:color="auto"/>
            </w:tcBorders>
            <w:hideMark/>
          </w:tcPr>
          <w:p w14:paraId="1781F91F" w14:textId="77777777" w:rsidR="000E7C2F" w:rsidRPr="000E7C2F" w:rsidRDefault="000E7C2F" w:rsidP="000E7C2F">
            <w:pPr>
              <w:jc w:val="center"/>
              <w:rPr>
                <w:sz w:val="22"/>
                <w:szCs w:val="22"/>
              </w:rPr>
            </w:pPr>
            <w:r w:rsidRPr="000E7C2F">
              <w:rPr>
                <w:b/>
              </w:rPr>
              <w:t>Estándar 17</w:t>
            </w:r>
          </w:p>
        </w:tc>
        <w:tc>
          <w:tcPr>
            <w:tcW w:w="1900" w:type="dxa"/>
            <w:tcBorders>
              <w:top w:val="single" w:sz="4" w:space="0" w:color="auto"/>
              <w:left w:val="single" w:sz="4" w:space="0" w:color="auto"/>
              <w:bottom w:val="single" w:sz="4" w:space="0" w:color="auto"/>
              <w:right w:val="single" w:sz="4" w:space="0" w:color="auto"/>
            </w:tcBorders>
            <w:vAlign w:val="center"/>
            <w:hideMark/>
          </w:tcPr>
          <w:p w14:paraId="703EE350" w14:textId="77777777" w:rsidR="000E7C2F" w:rsidRPr="000E7C2F" w:rsidRDefault="000E7C2F" w:rsidP="000E7C2F">
            <w:pPr>
              <w:jc w:val="center"/>
              <w:rPr>
                <w:b/>
              </w:rPr>
            </w:pPr>
            <w:r w:rsidRPr="000E7C2F">
              <w:rPr>
                <w:b/>
              </w:rPr>
              <w:t>3</w:t>
            </w:r>
          </w:p>
        </w:tc>
        <w:tc>
          <w:tcPr>
            <w:tcW w:w="1892" w:type="dxa"/>
            <w:tcBorders>
              <w:top w:val="single" w:sz="4" w:space="0" w:color="auto"/>
              <w:left w:val="single" w:sz="4" w:space="0" w:color="auto"/>
              <w:bottom w:val="single" w:sz="4" w:space="0" w:color="auto"/>
              <w:right w:val="single" w:sz="4" w:space="0" w:color="auto"/>
            </w:tcBorders>
            <w:vAlign w:val="center"/>
            <w:hideMark/>
          </w:tcPr>
          <w:p w14:paraId="37A37816" w14:textId="77777777" w:rsidR="000E7C2F" w:rsidRPr="000E7C2F" w:rsidRDefault="000E7C2F" w:rsidP="000E7C2F">
            <w:pPr>
              <w:jc w:val="center"/>
              <w:rPr>
                <w:b/>
                <w:color w:val="0070C0"/>
              </w:rPr>
            </w:pPr>
            <w:r w:rsidRPr="000E7C2F">
              <w:rPr>
                <w:b/>
                <w:color w:val="0070C0"/>
              </w:rPr>
              <w:t>3</w:t>
            </w:r>
          </w:p>
        </w:tc>
        <w:tc>
          <w:tcPr>
            <w:tcW w:w="1559" w:type="dxa"/>
            <w:tcBorders>
              <w:top w:val="single" w:sz="4" w:space="0" w:color="auto"/>
              <w:left w:val="single" w:sz="4" w:space="0" w:color="auto"/>
              <w:bottom w:val="single" w:sz="4" w:space="0" w:color="auto"/>
              <w:right w:val="single" w:sz="4" w:space="0" w:color="auto"/>
            </w:tcBorders>
            <w:hideMark/>
          </w:tcPr>
          <w:p w14:paraId="1542BFEF" w14:textId="77777777" w:rsidR="000E7C2F" w:rsidRPr="000E7C2F" w:rsidRDefault="000E7C2F" w:rsidP="000E7C2F">
            <w:pPr>
              <w:jc w:val="center"/>
              <w:rPr>
                <w:b/>
                <w:color w:val="00B050"/>
              </w:rPr>
            </w:pPr>
            <w:r w:rsidRPr="000E7C2F">
              <w:rPr>
                <w:b/>
                <w:color w:val="00B050"/>
              </w:rPr>
              <w:t>2</w:t>
            </w:r>
          </w:p>
        </w:tc>
      </w:tr>
    </w:tbl>
    <w:p w14:paraId="28006F0D" w14:textId="77777777" w:rsidR="000E7C2F" w:rsidRPr="000E7C2F" w:rsidRDefault="000E7C2F" w:rsidP="000E7C2F">
      <w:pPr>
        <w:jc w:val="both"/>
        <w:rPr>
          <w:b/>
          <w:lang w:eastAsia="en-US"/>
        </w:rPr>
      </w:pPr>
    </w:p>
    <w:p w14:paraId="33B11E70" w14:textId="77777777" w:rsidR="000E7C2F" w:rsidRPr="000E7C2F" w:rsidRDefault="000E7C2F" w:rsidP="000E7C2F">
      <w:pPr>
        <w:jc w:val="both"/>
      </w:pPr>
      <w:r w:rsidRPr="000E7C2F">
        <w:rPr>
          <w:b/>
        </w:rPr>
        <w:t>En la columna “Peso del estándar de aprendizaje”</w:t>
      </w:r>
      <w:r w:rsidRPr="000E7C2F">
        <w:t xml:space="preserve"> aparecen los diferentes pesos que el docente ha otorgado a cada aprendizaje en función de su importancia, es decir</w:t>
      </w:r>
      <w:r w:rsidRPr="000E7C2F">
        <w:rPr>
          <w:b/>
        </w:rPr>
        <w:t>, dentro de cada categorización</w:t>
      </w:r>
      <w:r w:rsidRPr="000E7C2F">
        <w:t xml:space="preserve"> el docente puede asignar pesos a cada aprendizaje en función de su relevancia. No todos los aprendizajes de cada bloque de categorización tienen la misma importancia para el docente y por ello la aplicación contempla la posibilidad de otorgar pesos individualmente. En este ejemplo, el “Estándar 3” pesa el doble que el “Estándar 1”. </w:t>
      </w:r>
    </w:p>
    <w:p w14:paraId="2CE98AED" w14:textId="77777777" w:rsidR="000E7C2F" w:rsidRPr="000E7C2F" w:rsidRDefault="000E7C2F" w:rsidP="000E7C2F">
      <w:pPr>
        <w:jc w:val="both"/>
      </w:pPr>
      <w:r w:rsidRPr="000E7C2F">
        <w:rPr>
          <w:b/>
        </w:rPr>
        <w:t>En la columna “Niveles de logro obtenidos por el alumno”</w:t>
      </w:r>
      <w:r w:rsidRPr="000E7C2F">
        <w:t xml:space="preserve"> aparecen los diferentes niveles de logro que se han otorgado a cada uno de los aprendizajes que han intervenido en el proceso de enseñanza-aprendizaje.</w:t>
      </w:r>
    </w:p>
    <w:p w14:paraId="40F1C964" w14:textId="77777777" w:rsidR="000E7C2F" w:rsidRDefault="000E7C2F"/>
    <w:p w14:paraId="4CFED319" w14:textId="77777777" w:rsidR="000E7C2F" w:rsidRDefault="000E7C2F" w:rsidP="000E7C2F">
      <w:pPr>
        <w:jc w:val="both"/>
      </w:pPr>
    </w:p>
    <w:p w14:paraId="2CE54EE3" w14:textId="77777777" w:rsidR="000E7C2F" w:rsidRDefault="000E7C2F" w:rsidP="000E7C2F">
      <w:pPr>
        <w:jc w:val="both"/>
      </w:pPr>
      <w:r>
        <w:t>Vamos ahora a aplicar las fórmulas para ver cómo se calcula la calificación curricular.</w:t>
      </w:r>
    </w:p>
    <w:p w14:paraId="66F54A69" w14:textId="77777777" w:rsidR="000E7C2F" w:rsidRDefault="000E7C2F" w:rsidP="000E7C2F">
      <w:pPr>
        <w:jc w:val="both"/>
      </w:pPr>
    </w:p>
    <w:p w14:paraId="7410131C" w14:textId="77777777" w:rsidR="000E7C2F" w:rsidRDefault="000E7C2F" w:rsidP="000E7C2F">
      <w:pPr>
        <w:jc w:val="both"/>
        <w:rPr>
          <w:b/>
        </w:rPr>
      </w:pPr>
      <w:r>
        <w:t xml:space="preserve">Empezaremos por el bloque de </w:t>
      </w:r>
      <w:r>
        <w:rPr>
          <w:b/>
        </w:rPr>
        <w:t>Básicos:</w:t>
      </w:r>
    </w:p>
    <w:p w14:paraId="6B34804C" w14:textId="77777777" w:rsidR="000E7C2F" w:rsidRDefault="000E7C2F" w:rsidP="000E7C2F">
      <w:pPr>
        <w:jc w:val="both"/>
        <w:rPr>
          <w:b/>
        </w:rPr>
      </w:pPr>
    </w:p>
    <w:p w14:paraId="27B9FF4D" w14:textId="77777777" w:rsidR="000E7C2F" w:rsidRDefault="000E7C2F" w:rsidP="000E7C2F">
      <w:pPr>
        <w:jc w:val="both"/>
        <w:rPr>
          <w:rFonts w:ascii="Arial" w:hAnsi="Arial" w:cs="Arial"/>
          <w:sz w:val="22"/>
          <w:szCs w:val="22"/>
        </w:rPr>
      </w:pPr>
      <m:oMathPara>
        <m:oMath>
          <m:r>
            <w:rPr>
              <w:rFonts w:ascii="Cambria Math" w:hAnsi="Cambria Math" w:cs="Arial"/>
            </w:rPr>
            <m:t>5×</m:t>
          </m:r>
          <m:d>
            <m:dPr>
              <m:ctrlPr>
                <w:rPr>
                  <w:rFonts w:ascii="Cambria Math" w:hAnsi="Cambria Math" w:cs="Arial"/>
                  <w:i/>
                  <w:sz w:val="22"/>
                  <w:szCs w:val="22"/>
                  <w:lang w:eastAsia="en-US"/>
                </w:rPr>
              </m:ctrlPr>
            </m:dPr>
            <m:e>
              <m:f>
                <m:fPr>
                  <m:ctrlPr>
                    <w:rPr>
                      <w:rFonts w:ascii="Cambria Math" w:hAnsi="Cambria Math" w:cs="Arial"/>
                      <w:i/>
                      <w:sz w:val="22"/>
                      <w:szCs w:val="22"/>
                      <w:lang w:eastAsia="en-US"/>
                    </w:rPr>
                  </m:ctrlPr>
                </m:fPr>
                <m:num>
                  <m:r>
                    <w:rPr>
                      <w:rFonts w:ascii="Cambria Math" w:hAnsi="Cambria Math" w:cs="Arial"/>
                    </w:rPr>
                    <m:t xml:space="preserve">Σ pesos básicos superados </m:t>
                  </m:r>
                </m:num>
                <m:den>
                  <m:r>
                    <w:rPr>
                      <w:rFonts w:ascii="Cambria Math" w:hAnsi="Cambria Math" w:cs="Arial"/>
                    </w:rPr>
                    <m:t>Σ pesos básicos totales</m:t>
                  </m:r>
                </m:den>
              </m:f>
            </m:e>
          </m:d>
          <m:r>
            <w:rPr>
              <w:rFonts w:ascii="Cambria Math" w:hAnsi="Cambria Math" w:cs="Arial"/>
            </w:rPr>
            <m:t>+</m:t>
          </m:r>
        </m:oMath>
      </m:oMathPara>
    </w:p>
    <w:p w14:paraId="2583F6A1" w14:textId="77777777" w:rsidR="000E7C2F" w:rsidRDefault="000E7C2F" w:rsidP="000E7C2F">
      <w:pPr>
        <w:jc w:val="both"/>
        <w:rPr>
          <w:rFonts w:ascii="Arial" w:hAnsi="Arial" w:cs="Arial"/>
        </w:rPr>
      </w:pPr>
    </w:p>
    <w:p w14:paraId="5299472B" w14:textId="77777777" w:rsidR="000E7C2F" w:rsidRDefault="000E7C2F" w:rsidP="000E7C2F">
      <w:pPr>
        <w:jc w:val="both"/>
        <w:rPr>
          <w:rFonts w:ascii="Arial" w:hAnsi="Arial" w:cs="Arial"/>
        </w:rPr>
      </w:pPr>
      <m:oMathPara>
        <m:oMath>
          <m:r>
            <w:rPr>
              <w:rFonts w:ascii="Cambria Math" w:hAnsi="Cambria Math" w:cs="Arial"/>
            </w:rPr>
            <m:t>+</m:t>
          </m:r>
          <m:d>
            <m:dPr>
              <m:ctrlPr>
                <w:rPr>
                  <w:rFonts w:ascii="Cambria Math" w:hAnsi="Cambria Math" w:cs="Arial"/>
                  <w:i/>
                  <w:sz w:val="22"/>
                  <w:szCs w:val="22"/>
                  <w:lang w:eastAsia="en-US"/>
                </w:rPr>
              </m:ctrlPr>
            </m:dPr>
            <m:e>
              <m:r>
                <w:rPr>
                  <w:rFonts w:ascii="Cambria Math" w:hAnsi="Cambria Math" w:cs="Arial"/>
                </w:rPr>
                <m:t xml:space="preserve"> </m:t>
              </m:r>
              <m:f>
                <m:fPr>
                  <m:ctrlPr>
                    <w:rPr>
                      <w:rFonts w:ascii="Cambria Math" w:hAnsi="Cambria Math" w:cs="Arial"/>
                      <w:i/>
                      <w:sz w:val="22"/>
                      <w:szCs w:val="22"/>
                      <w:lang w:eastAsia="en-US"/>
                    </w:rPr>
                  </m:ctrlPr>
                </m:fPr>
                <m:num>
                  <m:r>
                    <w:rPr>
                      <w:rFonts w:ascii="Cambria Math" w:hAnsi="Cambria Math" w:cs="Arial"/>
                    </w:rPr>
                    <m:t>Σ (</m:t>
                  </m:r>
                  <m:r>
                    <m:rPr>
                      <m:sty m:val="bi"/>
                    </m:rPr>
                    <w:rPr>
                      <w:rFonts w:ascii="Cambria Math" w:hAnsi="Cambria Math" w:cs="Arial"/>
                    </w:rPr>
                    <m:t>niveles de logro normalizados</m:t>
                  </m:r>
                  <m:r>
                    <w:rPr>
                      <w:rFonts w:ascii="Cambria Math" w:hAnsi="Cambria Math" w:cs="Arial"/>
                    </w:rPr>
                    <m:t xml:space="preserve">  básicos &gt;1×peso estándar)</m:t>
                  </m:r>
                </m:num>
                <m:den>
                  <m:r>
                    <w:rPr>
                      <w:rFonts w:ascii="Cambria Math" w:hAnsi="Cambria Math" w:cs="Arial"/>
                    </w:rPr>
                    <m:t xml:space="preserve">Σ pesos estándares básicos ×4 </m:t>
                  </m:r>
                </m:den>
              </m:f>
            </m:e>
          </m:d>
          <m:r>
            <w:rPr>
              <w:rFonts w:ascii="Cambria Math" w:hAnsi="Cambria Math" w:cs="Arial"/>
            </w:rPr>
            <m:t xml:space="preserve">× </m:t>
          </m:r>
        </m:oMath>
      </m:oMathPara>
    </w:p>
    <w:p w14:paraId="5D4C1DCD" w14:textId="77777777" w:rsidR="000E7C2F" w:rsidRDefault="000E7C2F" w:rsidP="000E7C2F">
      <w:pPr>
        <w:jc w:val="both"/>
        <w:rPr>
          <w:rFonts w:ascii="Arial" w:hAnsi="Arial" w:cs="Arial"/>
        </w:rPr>
      </w:pPr>
    </w:p>
    <w:p w14:paraId="4C2031DD" w14:textId="77777777" w:rsidR="000E7C2F" w:rsidRDefault="000E7C2F" w:rsidP="000E7C2F">
      <w:pPr>
        <w:jc w:val="both"/>
        <w:rPr>
          <w:rFonts w:ascii="Arial" w:hAnsi="Arial" w:cs="Arial"/>
        </w:rPr>
      </w:pPr>
      <m:oMathPara>
        <m:oMathParaPr>
          <m:jc m:val="center"/>
        </m:oMathParaPr>
        <m:oMath>
          <m:r>
            <w:rPr>
              <w:rFonts w:ascii="Cambria Math" w:hAnsi="Cambria Math" w:cs="Arial"/>
            </w:rPr>
            <m:t>×</m:t>
          </m:r>
          <m:d>
            <m:dPr>
              <m:ctrlPr>
                <w:rPr>
                  <w:rFonts w:ascii="Cambria Math" w:hAnsi="Cambria Math" w:cs="Arial"/>
                  <w:i/>
                  <w:sz w:val="22"/>
                  <w:szCs w:val="22"/>
                  <w:lang w:eastAsia="en-US"/>
                </w:rPr>
              </m:ctrlPr>
            </m:dPr>
            <m:e>
              <m:r>
                <w:rPr>
                  <w:rFonts w:ascii="Cambria Math" w:hAnsi="Cambria Math" w:cs="Arial"/>
                </w:rPr>
                <m:t>peso básicos-50%</m:t>
              </m:r>
            </m:e>
          </m:d>
          <m:r>
            <w:rPr>
              <w:rFonts w:ascii="Cambria Math" w:hAnsi="Cambria Math" w:cs="Arial"/>
            </w:rPr>
            <m:t xml:space="preserve"> ×10</m:t>
          </m:r>
        </m:oMath>
      </m:oMathPara>
    </w:p>
    <w:p w14:paraId="0A25D6D0" w14:textId="77777777" w:rsidR="000E7C2F" w:rsidRDefault="000E7C2F" w:rsidP="000E7C2F">
      <w:pPr>
        <w:jc w:val="both"/>
      </w:pPr>
    </w:p>
    <w:p w14:paraId="68AE8FC6" w14:textId="77777777" w:rsidR="000E7C2F" w:rsidRDefault="000E7C2F" w:rsidP="000E7C2F">
      <w:pPr>
        <w:jc w:val="both"/>
      </w:pPr>
      <w:r>
        <w:lastRenderedPageBreak/>
        <w:t>Si aplicamos los datos que tenemos:</w:t>
      </w:r>
    </w:p>
    <w:p w14:paraId="0BCE9133" w14:textId="77777777" w:rsidR="000E7C2F" w:rsidRDefault="000E7C2F" w:rsidP="000E7C2F">
      <w:pPr>
        <w:jc w:val="both"/>
        <w:rPr>
          <w:rFonts w:ascii="Arial" w:hAnsi="Arial" w:cs="Arial"/>
          <w:sz w:val="22"/>
          <w:szCs w:val="22"/>
        </w:rPr>
      </w:pPr>
      <m:oMathPara>
        <m:oMath>
          <m:r>
            <w:rPr>
              <w:rFonts w:ascii="Cambria Math" w:hAnsi="Cambria Math" w:cs="Arial"/>
            </w:rPr>
            <m:t>5×</m:t>
          </m:r>
          <m:d>
            <m:dPr>
              <m:ctrlPr>
                <w:rPr>
                  <w:rFonts w:ascii="Cambria Math" w:hAnsi="Cambria Math" w:cs="Arial"/>
                  <w:i/>
                  <w:sz w:val="22"/>
                  <w:szCs w:val="22"/>
                  <w:lang w:eastAsia="en-US"/>
                </w:rPr>
              </m:ctrlPr>
            </m:dPr>
            <m:e>
              <m:f>
                <m:fPr>
                  <m:ctrlPr>
                    <w:rPr>
                      <w:rFonts w:ascii="Cambria Math" w:hAnsi="Cambria Math" w:cs="Arial"/>
                      <w:i/>
                      <w:sz w:val="22"/>
                      <w:szCs w:val="22"/>
                      <w:lang w:eastAsia="en-US"/>
                    </w:rPr>
                  </m:ctrlPr>
                </m:fPr>
                <m:num>
                  <m:r>
                    <w:rPr>
                      <w:rFonts w:ascii="Cambria Math" w:hAnsi="Cambria Math" w:cs="Arial"/>
                    </w:rPr>
                    <m:t xml:space="preserve"> 1+1+2+2+2+2+2</m:t>
                  </m:r>
                </m:num>
                <m:den>
                  <m:r>
                    <w:rPr>
                      <w:rFonts w:ascii="Cambria Math" w:hAnsi="Cambria Math" w:cs="Arial"/>
                    </w:rPr>
                    <m:t>1+1+2+2+2+3+2+2</m:t>
                  </m:r>
                </m:den>
              </m:f>
            </m:e>
          </m:d>
          <m:r>
            <w:rPr>
              <w:rFonts w:ascii="Cambria Math" w:hAnsi="Cambria Math" w:cs="Arial"/>
            </w:rPr>
            <m:t>+</m:t>
          </m:r>
        </m:oMath>
      </m:oMathPara>
    </w:p>
    <w:p w14:paraId="0EA50515" w14:textId="77777777" w:rsidR="000E7C2F" w:rsidRDefault="000E7C2F" w:rsidP="000E7C2F">
      <w:pPr>
        <w:jc w:val="both"/>
        <w:rPr>
          <w:rFonts w:ascii="Arial" w:hAnsi="Arial" w:cs="Arial"/>
        </w:rPr>
      </w:pPr>
    </w:p>
    <w:p w14:paraId="6BC0A8E7" w14:textId="77777777" w:rsidR="000E7C2F" w:rsidRDefault="000E7C2F" w:rsidP="000E7C2F">
      <w:pPr>
        <w:jc w:val="both"/>
        <w:rPr>
          <w:rFonts w:ascii="Arial" w:hAnsi="Arial" w:cs="Arial"/>
        </w:rPr>
      </w:pPr>
      <m:oMathPara>
        <m:oMath>
          <m:r>
            <w:rPr>
              <w:rFonts w:ascii="Cambria Math" w:hAnsi="Cambria Math" w:cs="Arial"/>
            </w:rPr>
            <m:t>+</m:t>
          </m:r>
          <m:d>
            <m:dPr>
              <m:ctrlPr>
                <w:rPr>
                  <w:rFonts w:ascii="Cambria Math" w:hAnsi="Cambria Math" w:cs="Arial"/>
                  <w:i/>
                  <w:sz w:val="22"/>
                  <w:szCs w:val="22"/>
                  <w:lang w:eastAsia="en-US"/>
                </w:rPr>
              </m:ctrlPr>
            </m:dPr>
            <m:e>
              <m:r>
                <w:rPr>
                  <w:rFonts w:ascii="Cambria Math" w:hAnsi="Cambria Math" w:cs="Arial"/>
                </w:rPr>
                <m:t xml:space="preserve"> </m:t>
              </m:r>
              <m:f>
                <m:fPr>
                  <m:ctrlPr>
                    <w:rPr>
                      <w:rFonts w:ascii="Cambria Math" w:hAnsi="Cambria Math" w:cs="Arial"/>
                      <w:i/>
                      <w:sz w:val="22"/>
                      <w:szCs w:val="22"/>
                      <w:lang w:eastAsia="en-US"/>
                    </w:rPr>
                  </m:ctrlPr>
                </m:fPr>
                <m:num>
                  <m:r>
                    <w:rPr>
                      <w:rFonts w:ascii="Cambria Math" w:hAnsi="Cambria Math" w:cs="Arial"/>
                    </w:rPr>
                    <m:t xml:space="preserve"> 1×3+1×3+2×2+2×3+2×3+2×3</m:t>
                  </m:r>
                </m:num>
                <m:den>
                  <m:r>
                    <w:rPr>
                      <w:rFonts w:ascii="Cambria Math" w:hAnsi="Cambria Math" w:cs="Arial"/>
                    </w:rPr>
                    <m:t>(1+1+2+2+2+3+2+2)×4</m:t>
                  </m:r>
                </m:den>
              </m:f>
            </m:e>
          </m:d>
          <m:r>
            <w:rPr>
              <w:rFonts w:ascii="Cambria Math" w:hAnsi="Cambria Math" w:cs="Arial"/>
            </w:rPr>
            <m:t xml:space="preserve">× </m:t>
          </m:r>
        </m:oMath>
      </m:oMathPara>
    </w:p>
    <w:p w14:paraId="591CA18C" w14:textId="77777777" w:rsidR="000E7C2F" w:rsidRDefault="000E7C2F" w:rsidP="000E7C2F">
      <w:pPr>
        <w:jc w:val="both"/>
        <w:rPr>
          <w:rFonts w:ascii="Arial" w:hAnsi="Arial" w:cs="Arial"/>
        </w:rPr>
      </w:pPr>
    </w:p>
    <w:p w14:paraId="3A6E6CF9" w14:textId="77777777" w:rsidR="000E7C2F" w:rsidRDefault="000E7C2F" w:rsidP="000E7C2F">
      <w:pPr>
        <w:jc w:val="both"/>
        <w:rPr>
          <w:rFonts w:ascii="Arial" w:hAnsi="Arial" w:cs="Arial"/>
        </w:rPr>
      </w:pPr>
      <m:oMathPara>
        <m:oMathParaPr>
          <m:jc m:val="center"/>
        </m:oMathParaPr>
        <m:oMath>
          <m:r>
            <w:rPr>
              <w:rFonts w:ascii="Cambria Math" w:hAnsi="Cambria Math" w:cs="Arial"/>
            </w:rPr>
            <m:t>×</m:t>
          </m:r>
          <m:d>
            <m:dPr>
              <m:ctrlPr>
                <w:rPr>
                  <w:rFonts w:ascii="Cambria Math" w:hAnsi="Cambria Math" w:cs="Arial"/>
                  <w:i/>
                  <w:sz w:val="22"/>
                  <w:szCs w:val="22"/>
                  <w:lang w:eastAsia="en-US"/>
                </w:rPr>
              </m:ctrlPr>
            </m:dPr>
            <m:e>
              <m:r>
                <w:rPr>
                  <w:rFonts w:ascii="Cambria Math" w:hAnsi="Cambria Math" w:cs="Arial"/>
                </w:rPr>
                <m:t>55%-50%</m:t>
              </m:r>
            </m:e>
          </m:d>
          <m:r>
            <w:rPr>
              <w:rFonts w:ascii="Cambria Math" w:hAnsi="Cambria Math" w:cs="Arial"/>
            </w:rPr>
            <m:t xml:space="preserve"> ×10</m:t>
          </m:r>
        </m:oMath>
      </m:oMathPara>
    </w:p>
    <w:p w14:paraId="395762A0" w14:textId="77777777" w:rsidR="000E7C2F" w:rsidRDefault="000E7C2F" w:rsidP="000E7C2F">
      <w:pPr>
        <w:jc w:val="both"/>
      </w:pPr>
    </w:p>
    <w:p w14:paraId="686F699E" w14:textId="77777777" w:rsidR="000E7C2F" w:rsidRPr="000E7C2F" w:rsidRDefault="000E7C2F" w:rsidP="000E7C2F">
      <w:pPr>
        <w:jc w:val="both"/>
        <w:rPr>
          <w:b/>
        </w:rPr>
      </w:pPr>
      <m:oMathPara>
        <m:oMath>
          <m:r>
            <w:rPr>
              <w:rFonts w:ascii="Cambria Math" w:hAnsi="Cambria Math"/>
            </w:rPr>
            <m:t>5×</m:t>
          </m:r>
          <m:f>
            <m:fPr>
              <m:ctrlPr>
                <w:rPr>
                  <w:rFonts w:ascii="Cambria Math" w:hAnsi="Cambria Math"/>
                  <w:i/>
                  <w:lang w:eastAsia="en-US"/>
                </w:rPr>
              </m:ctrlPr>
            </m:fPr>
            <m:num>
              <m:r>
                <w:rPr>
                  <w:rFonts w:ascii="Cambria Math" w:hAnsi="Cambria Math"/>
                </w:rPr>
                <m:t>12</m:t>
              </m:r>
            </m:num>
            <m:den>
              <m:r>
                <w:rPr>
                  <w:rFonts w:ascii="Cambria Math" w:hAnsi="Cambria Math"/>
                </w:rPr>
                <m:t>15</m:t>
              </m:r>
            </m:den>
          </m:f>
          <m:r>
            <w:rPr>
              <w:rFonts w:ascii="Cambria Math" w:hAnsi="Cambria Math"/>
            </w:rPr>
            <m:t>+</m:t>
          </m:r>
          <m:f>
            <m:fPr>
              <m:ctrlPr>
                <w:rPr>
                  <w:rFonts w:ascii="Cambria Math" w:hAnsi="Cambria Math"/>
                  <w:i/>
                  <w:lang w:eastAsia="en-US"/>
                </w:rPr>
              </m:ctrlPr>
            </m:fPr>
            <m:num>
              <m:r>
                <w:rPr>
                  <w:rFonts w:ascii="Cambria Math" w:hAnsi="Cambria Math"/>
                </w:rPr>
                <m:t>28</m:t>
              </m:r>
            </m:num>
            <m:den>
              <m:r>
                <w:rPr>
                  <w:rFonts w:ascii="Cambria Math" w:hAnsi="Cambria Math"/>
                </w:rPr>
                <m:t>60</m:t>
              </m:r>
            </m:den>
          </m:f>
          <m:r>
            <w:rPr>
              <w:rFonts w:ascii="Cambria Math" w:hAnsi="Cambria Math"/>
            </w:rPr>
            <m:t>×5%×10=4+0,2</m:t>
          </m:r>
          <m:acc>
            <m:accPr>
              <m:ctrlPr>
                <w:rPr>
                  <w:rFonts w:ascii="Cambria Math" w:hAnsi="Cambria Math"/>
                  <w:i/>
                  <w:lang w:eastAsia="en-US"/>
                </w:rPr>
              </m:ctrlPr>
            </m:accPr>
            <m:e>
              <m:r>
                <w:rPr>
                  <w:rFonts w:ascii="Cambria Math" w:hAnsi="Cambria Math"/>
                </w:rPr>
                <m:t>3</m:t>
              </m:r>
            </m:e>
          </m:acc>
          <m:r>
            <w:rPr>
              <w:rFonts w:ascii="Cambria Math" w:hAnsi="Cambria Math"/>
            </w:rPr>
            <m:t>≅</m:t>
          </m:r>
          <m:r>
            <m:rPr>
              <m:sty m:val="bi"/>
            </m:rPr>
            <w:rPr>
              <w:rFonts w:ascii="Cambria Math" w:hAnsi="Cambria Math"/>
            </w:rPr>
            <m:t>4,23</m:t>
          </m:r>
        </m:oMath>
      </m:oMathPara>
    </w:p>
    <w:p w14:paraId="15F77A7D" w14:textId="77777777" w:rsidR="000E7C2F" w:rsidRDefault="000E7C2F" w:rsidP="000E7C2F">
      <w:pPr>
        <w:jc w:val="both"/>
        <w:rPr>
          <w:b/>
        </w:rPr>
      </w:pPr>
    </w:p>
    <w:p w14:paraId="1533B5E8" w14:textId="77777777" w:rsidR="000E7C2F" w:rsidRDefault="000E7C2F" w:rsidP="000E7C2F">
      <w:pPr>
        <w:jc w:val="both"/>
        <w:rPr>
          <w:b/>
        </w:rPr>
      </w:pPr>
      <w:r>
        <w:t xml:space="preserve">Ahora calculamos la calificación en el bloque de </w:t>
      </w:r>
      <w:r>
        <w:rPr>
          <w:b/>
        </w:rPr>
        <w:t>Intermedios:</w:t>
      </w:r>
    </w:p>
    <w:p w14:paraId="5222D797" w14:textId="77777777" w:rsidR="000E7C2F" w:rsidRDefault="000E7C2F" w:rsidP="000E7C2F">
      <w:pPr>
        <w:jc w:val="both"/>
      </w:pPr>
    </w:p>
    <w:p w14:paraId="7BD64125" w14:textId="17018AFD" w:rsidR="000E7C2F" w:rsidRPr="000E7C2F" w:rsidRDefault="0024378E" w:rsidP="000E7C2F">
      <w:pPr>
        <w:jc w:val="both"/>
        <w:rPr>
          <w:b/>
        </w:rPr>
      </w:pPr>
      <m:oMathPara>
        <m:oMath>
          <m:f>
            <m:fPr>
              <m:ctrlPr>
                <w:rPr>
                  <w:rFonts w:ascii="Cambria Math" w:hAnsi="Cambria Math"/>
                  <w:i/>
                  <w:lang w:eastAsia="en-US"/>
                </w:rPr>
              </m:ctrlPr>
            </m:fPr>
            <m:num>
              <m:r>
                <w:rPr>
                  <w:rFonts w:ascii="Cambria Math" w:hAnsi="Cambria Math"/>
                </w:rPr>
                <m:t>2×2+3×2+3×1+3×2+3×3</m:t>
              </m:r>
            </m:num>
            <m:den>
              <m:r>
                <w:rPr>
                  <w:rFonts w:ascii="Cambria Math" w:hAnsi="Cambria Math"/>
                </w:rPr>
                <m:t>(2+3+3+3+3)×4</m:t>
              </m:r>
            </m:den>
          </m:f>
          <m:r>
            <w:rPr>
              <w:rFonts w:ascii="Cambria Math" w:hAnsi="Cambria Math"/>
            </w:rPr>
            <m:t>×35%×10=</m:t>
          </m:r>
          <m:f>
            <m:fPr>
              <m:ctrlPr>
                <w:rPr>
                  <w:rFonts w:ascii="Cambria Math" w:hAnsi="Cambria Math"/>
                  <w:i/>
                  <w:lang w:eastAsia="en-US"/>
                </w:rPr>
              </m:ctrlPr>
            </m:fPr>
            <m:num>
              <m:r>
                <w:rPr>
                  <w:rFonts w:ascii="Cambria Math" w:hAnsi="Cambria Math"/>
                </w:rPr>
                <m:t>28</m:t>
              </m:r>
            </m:num>
            <m:den>
              <m:r>
                <w:rPr>
                  <w:rFonts w:ascii="Cambria Math" w:hAnsi="Cambria Math"/>
                </w:rPr>
                <m:t>56</m:t>
              </m:r>
            </m:den>
          </m:f>
          <m:r>
            <w:rPr>
              <w:rFonts w:ascii="Cambria Math" w:hAnsi="Cambria Math"/>
            </w:rPr>
            <m:t>×35%×10=</m:t>
          </m:r>
          <m:r>
            <m:rPr>
              <m:sty m:val="bi"/>
            </m:rPr>
            <w:rPr>
              <w:rFonts w:ascii="Cambria Math" w:hAnsi="Cambria Math"/>
            </w:rPr>
            <m:t>1,75</m:t>
          </m:r>
        </m:oMath>
      </m:oMathPara>
    </w:p>
    <w:p w14:paraId="1DB58EF4" w14:textId="77777777" w:rsidR="000E7C2F" w:rsidRDefault="000E7C2F" w:rsidP="000E7C2F">
      <w:pPr>
        <w:jc w:val="both"/>
        <w:rPr>
          <w:b/>
        </w:rPr>
      </w:pPr>
    </w:p>
    <w:p w14:paraId="658E2DA9" w14:textId="77777777" w:rsidR="000E7C2F" w:rsidRDefault="000E7C2F" w:rsidP="000E7C2F">
      <w:pPr>
        <w:jc w:val="both"/>
        <w:rPr>
          <w:b/>
        </w:rPr>
      </w:pPr>
      <w:r>
        <w:t xml:space="preserve">Por último calculamos la calificación del bloque de </w:t>
      </w:r>
      <w:r>
        <w:rPr>
          <w:b/>
        </w:rPr>
        <w:t>Avanzados:</w:t>
      </w:r>
    </w:p>
    <w:p w14:paraId="5939EAF9" w14:textId="77777777" w:rsidR="000E7C2F" w:rsidRDefault="000E7C2F" w:rsidP="000E7C2F">
      <w:pPr>
        <w:jc w:val="both"/>
      </w:pPr>
    </w:p>
    <w:p w14:paraId="1A7AAB1A" w14:textId="77777777" w:rsidR="000E7C2F" w:rsidRPr="000E7C2F" w:rsidRDefault="0024378E" w:rsidP="000E7C2F">
      <w:pPr>
        <w:jc w:val="both"/>
        <w:rPr>
          <w:b/>
        </w:rPr>
      </w:pPr>
      <m:oMathPara>
        <m:oMath>
          <m:f>
            <m:fPr>
              <m:ctrlPr>
                <w:rPr>
                  <w:rFonts w:ascii="Cambria Math" w:hAnsi="Cambria Math"/>
                  <w:i/>
                  <w:lang w:eastAsia="en-US"/>
                </w:rPr>
              </m:ctrlPr>
            </m:fPr>
            <m:num>
              <m:r>
                <w:rPr>
                  <w:rFonts w:ascii="Cambria Math" w:hAnsi="Cambria Math"/>
                </w:rPr>
                <m:t>1×3+3×0+2×0+3×2</m:t>
              </m:r>
            </m:num>
            <m:den>
              <m:r>
                <w:rPr>
                  <w:rFonts w:ascii="Cambria Math" w:hAnsi="Cambria Math"/>
                </w:rPr>
                <m:t>(1+3+2+3)×4</m:t>
              </m:r>
            </m:den>
          </m:f>
          <m:r>
            <w:rPr>
              <w:rFonts w:ascii="Cambria Math" w:hAnsi="Cambria Math"/>
            </w:rPr>
            <m:t>×10%×10=</m:t>
          </m:r>
          <m:f>
            <m:fPr>
              <m:ctrlPr>
                <w:rPr>
                  <w:rFonts w:ascii="Cambria Math" w:hAnsi="Cambria Math"/>
                  <w:i/>
                  <w:lang w:eastAsia="en-US"/>
                </w:rPr>
              </m:ctrlPr>
            </m:fPr>
            <m:num>
              <m:r>
                <w:rPr>
                  <w:rFonts w:ascii="Cambria Math" w:hAnsi="Cambria Math"/>
                </w:rPr>
                <m:t>9</m:t>
              </m:r>
            </m:num>
            <m:den>
              <m:r>
                <w:rPr>
                  <w:rFonts w:ascii="Cambria Math" w:hAnsi="Cambria Math"/>
                </w:rPr>
                <m:t>36</m:t>
              </m:r>
            </m:den>
          </m:f>
          <m:r>
            <w:rPr>
              <w:rFonts w:ascii="Cambria Math" w:hAnsi="Cambria Math"/>
            </w:rPr>
            <m:t>×10%×10=</m:t>
          </m:r>
          <m:r>
            <m:rPr>
              <m:sty m:val="bi"/>
            </m:rPr>
            <w:rPr>
              <w:rFonts w:ascii="Cambria Math" w:hAnsi="Cambria Math"/>
            </w:rPr>
            <m:t>0,25</m:t>
          </m:r>
        </m:oMath>
      </m:oMathPara>
    </w:p>
    <w:p w14:paraId="1DF84579" w14:textId="77777777" w:rsidR="000E7C2F" w:rsidRDefault="000E7C2F" w:rsidP="000E7C2F">
      <w:pPr>
        <w:jc w:val="both"/>
        <w:rPr>
          <w:b/>
        </w:rPr>
      </w:pPr>
    </w:p>
    <w:p w14:paraId="588E05D4" w14:textId="77777777" w:rsidR="000E7C2F" w:rsidRDefault="000E7C2F" w:rsidP="000E7C2F">
      <w:pPr>
        <w:jc w:val="both"/>
        <w:rPr>
          <w:b/>
        </w:rPr>
      </w:pPr>
    </w:p>
    <w:p w14:paraId="6F02BDD6" w14:textId="77777777" w:rsidR="000E7C2F" w:rsidRDefault="000E7C2F" w:rsidP="000E7C2F">
      <w:pPr>
        <w:jc w:val="both"/>
        <w:rPr>
          <w:b/>
        </w:rPr>
      </w:pPr>
      <w:r>
        <w:rPr>
          <w:b/>
        </w:rPr>
        <w:t>Por lo tanto la calificación del alumno será:</w:t>
      </w:r>
    </w:p>
    <w:p w14:paraId="5B826BCF" w14:textId="77777777" w:rsidR="000E7C2F" w:rsidRDefault="000E7C2F" w:rsidP="000E7C2F">
      <w:pPr>
        <w:jc w:val="both"/>
        <w:rPr>
          <w:b/>
        </w:rPr>
      </w:pPr>
    </w:p>
    <w:p w14:paraId="5739C030" w14:textId="737F9403" w:rsidR="000E7C2F" w:rsidRPr="000E7C2F" w:rsidRDefault="000E7C2F" w:rsidP="000E7C2F">
      <w:pPr>
        <w:jc w:val="both"/>
        <w:rPr>
          <w:b/>
          <w:sz w:val="36"/>
          <w:szCs w:val="36"/>
        </w:rPr>
      </w:pPr>
      <m:oMathPara>
        <m:oMath>
          <m:r>
            <m:rPr>
              <m:sty m:val="bi"/>
            </m:rPr>
            <w:rPr>
              <w:rFonts w:ascii="Cambria Math" w:hAnsi="Cambria Math"/>
              <w:sz w:val="36"/>
              <w:szCs w:val="36"/>
            </w:rPr>
            <m:t>4,23+1,5+0,25=6,23</m:t>
          </m:r>
        </m:oMath>
      </m:oMathPara>
    </w:p>
    <w:p w14:paraId="5D8EDE9B" w14:textId="77777777" w:rsidR="000E7C2F" w:rsidRPr="00B47F03" w:rsidRDefault="000E7C2F" w:rsidP="000E7C2F">
      <w:pPr>
        <w:jc w:val="both"/>
        <w:rPr>
          <w:rFonts w:ascii="Calibri" w:hAnsi="Calibri" w:cs="Calibri"/>
          <w:b/>
          <w:sz w:val="22"/>
          <w:szCs w:val="22"/>
          <w:lang w:val="es-ES"/>
        </w:rPr>
      </w:pPr>
    </w:p>
    <w:p w14:paraId="540708B1" w14:textId="77777777" w:rsidR="000E7C2F" w:rsidRDefault="000E7C2F"/>
    <w:sectPr w:rsidR="000E7C2F" w:rsidSect="00A30E68">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Maiandra GD">
    <w:altName w:val="Cambria"/>
    <w:charset w:val="00"/>
    <w:family w:val="swiss"/>
    <w:pitch w:val="variable"/>
    <w:sig w:usb0="00000003" w:usb1="00000000" w:usb2="00000000" w:usb3="00000000" w:csb0="00000001" w:csb1="00000000"/>
  </w:font>
  <w:font w:name="MV Boli">
    <w:charset w:val="00"/>
    <w:family w:val="auto"/>
    <w:pitch w:val="variable"/>
    <w:sig w:usb0="00000003" w:usb1="00000000" w:usb2="000001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51B36"/>
    <w:multiLevelType w:val="hybridMultilevel"/>
    <w:tmpl w:val="381613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115"/>
    <w:rsid w:val="000E7C2F"/>
    <w:rsid w:val="001C543A"/>
    <w:rsid w:val="0024378E"/>
    <w:rsid w:val="004C72C4"/>
    <w:rsid w:val="005B3115"/>
    <w:rsid w:val="00A30E68"/>
    <w:rsid w:val="00DB77E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C09B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B311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B3115"/>
    <w:pPr>
      <w:ind w:left="720"/>
      <w:contextualSpacing/>
    </w:pPr>
    <w:rPr>
      <w:rFonts w:ascii="Arial" w:eastAsia="Times New Roman" w:hAnsi="Arial" w:cs="Times New Roman"/>
    </w:rPr>
  </w:style>
  <w:style w:type="table" w:styleId="Tablaconcuadrcula">
    <w:name w:val="Table Grid"/>
    <w:basedOn w:val="Tablanormal"/>
    <w:uiPriority w:val="39"/>
    <w:rsid w:val="005B3115"/>
    <w:rPr>
      <w:rFonts w:ascii="Maiandra GD" w:eastAsiaTheme="minorHAnsi" w:hAnsi="Maiandra GD" w:cs="MV Boli"/>
      <w:sz w:val="28"/>
      <w:szCs w:val="28"/>
      <w:lang w:val="es-E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5B311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B3115"/>
    <w:rPr>
      <w:rFonts w:ascii="Lucida Grande" w:hAnsi="Lucida Grande" w:cs="Lucida Grande"/>
      <w:sz w:val="18"/>
      <w:szCs w:val="18"/>
    </w:rPr>
  </w:style>
  <w:style w:type="character" w:customStyle="1" w:styleId="Ttulo1Car">
    <w:name w:val="Título 1 Car"/>
    <w:basedOn w:val="Fuentedeprrafopredeter"/>
    <w:link w:val="Ttulo1"/>
    <w:uiPriority w:val="9"/>
    <w:rsid w:val="005B3115"/>
    <w:rPr>
      <w:rFonts w:asciiTheme="majorHAnsi" w:eastAsiaTheme="majorEastAsia" w:hAnsiTheme="majorHAnsi" w:cstheme="majorBidi"/>
      <w:b/>
      <w:bCs/>
      <w:color w:val="345A8A" w:themeColor="accent1" w:themeShade="B5"/>
      <w:sz w:val="32"/>
      <w:szCs w:val="32"/>
    </w:rPr>
  </w:style>
  <w:style w:type="paragraph" w:styleId="Ttulo">
    <w:name w:val="Title"/>
    <w:basedOn w:val="Normal"/>
    <w:next w:val="Normal"/>
    <w:link w:val="TtuloCar"/>
    <w:uiPriority w:val="10"/>
    <w:qFormat/>
    <w:rsid w:val="005B311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B3115"/>
    <w:rPr>
      <w:rFonts w:asciiTheme="majorHAnsi" w:eastAsiaTheme="majorEastAsia" w:hAnsiTheme="majorHAnsi" w:cstheme="majorBidi"/>
      <w:color w:val="17365D" w:themeColor="text2" w:themeShade="BF"/>
      <w:spacing w:val="5"/>
      <w:kern w:val="28"/>
      <w:sz w:val="52"/>
      <w:szCs w:val="52"/>
    </w:rPr>
  </w:style>
  <w:style w:type="table" w:customStyle="1" w:styleId="Tablaconcuadrcula1">
    <w:name w:val="Tabla con cuadrícula1"/>
    <w:basedOn w:val="Tablanormal"/>
    <w:next w:val="Tablaconcuadrcula"/>
    <w:uiPriority w:val="59"/>
    <w:rsid w:val="000E7C2F"/>
    <w:rPr>
      <w:sz w:val="20"/>
      <w:szCs w:val="20"/>
      <w:lang w:val="es-E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B311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B3115"/>
    <w:pPr>
      <w:ind w:left="720"/>
      <w:contextualSpacing/>
    </w:pPr>
    <w:rPr>
      <w:rFonts w:ascii="Arial" w:eastAsia="Times New Roman" w:hAnsi="Arial" w:cs="Times New Roman"/>
    </w:rPr>
  </w:style>
  <w:style w:type="table" w:styleId="Tablaconcuadrcula">
    <w:name w:val="Table Grid"/>
    <w:basedOn w:val="Tablanormal"/>
    <w:uiPriority w:val="39"/>
    <w:rsid w:val="005B3115"/>
    <w:rPr>
      <w:rFonts w:ascii="Maiandra GD" w:eastAsiaTheme="minorHAnsi" w:hAnsi="Maiandra GD" w:cs="MV Boli"/>
      <w:sz w:val="28"/>
      <w:szCs w:val="28"/>
      <w:lang w:val="es-E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5B311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B3115"/>
    <w:rPr>
      <w:rFonts w:ascii="Lucida Grande" w:hAnsi="Lucida Grande" w:cs="Lucida Grande"/>
      <w:sz w:val="18"/>
      <w:szCs w:val="18"/>
    </w:rPr>
  </w:style>
  <w:style w:type="character" w:customStyle="1" w:styleId="Ttulo1Car">
    <w:name w:val="Título 1 Car"/>
    <w:basedOn w:val="Fuentedeprrafopredeter"/>
    <w:link w:val="Ttulo1"/>
    <w:uiPriority w:val="9"/>
    <w:rsid w:val="005B3115"/>
    <w:rPr>
      <w:rFonts w:asciiTheme="majorHAnsi" w:eastAsiaTheme="majorEastAsia" w:hAnsiTheme="majorHAnsi" w:cstheme="majorBidi"/>
      <w:b/>
      <w:bCs/>
      <w:color w:val="345A8A" w:themeColor="accent1" w:themeShade="B5"/>
      <w:sz w:val="32"/>
      <w:szCs w:val="32"/>
    </w:rPr>
  </w:style>
  <w:style w:type="paragraph" w:styleId="Ttulo">
    <w:name w:val="Title"/>
    <w:basedOn w:val="Normal"/>
    <w:next w:val="Normal"/>
    <w:link w:val="TtuloCar"/>
    <w:uiPriority w:val="10"/>
    <w:qFormat/>
    <w:rsid w:val="005B311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B3115"/>
    <w:rPr>
      <w:rFonts w:asciiTheme="majorHAnsi" w:eastAsiaTheme="majorEastAsia" w:hAnsiTheme="majorHAnsi" w:cstheme="majorBidi"/>
      <w:color w:val="17365D" w:themeColor="text2" w:themeShade="BF"/>
      <w:spacing w:val="5"/>
      <w:kern w:val="28"/>
      <w:sz w:val="52"/>
      <w:szCs w:val="52"/>
    </w:rPr>
  </w:style>
  <w:style w:type="table" w:customStyle="1" w:styleId="Tablaconcuadrcula1">
    <w:name w:val="Tabla con cuadrícula1"/>
    <w:basedOn w:val="Tablanormal"/>
    <w:next w:val="Tablaconcuadrcula"/>
    <w:uiPriority w:val="59"/>
    <w:rsid w:val="000E7C2F"/>
    <w:rPr>
      <w:sz w:val="20"/>
      <w:szCs w:val="20"/>
      <w:lang w:val="es-E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1551</Words>
  <Characters>8535</Characters>
  <Application>Microsoft Macintosh Word</Application>
  <DocSecurity>0</DocSecurity>
  <Lines>71</Lines>
  <Paragraphs>20</Paragraphs>
  <ScaleCrop>false</ScaleCrop>
  <Company/>
  <LinksUpToDate>false</LinksUpToDate>
  <CharactersWithSpaces>10066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Montañana Gómez</dc:creator>
  <cp:keywords/>
  <dc:description/>
  <cp:lastModifiedBy>Ricardo Montañana</cp:lastModifiedBy>
  <cp:revision>5</cp:revision>
  <dcterms:created xsi:type="dcterms:W3CDTF">2016-03-02T11:42:00Z</dcterms:created>
  <dcterms:modified xsi:type="dcterms:W3CDTF">2016-09-15T18:55:00Z</dcterms:modified>
</cp:coreProperties>
</file>